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page" w:tblpX="157" w:tblpY="344"/>
        <w:tblW w:w="11970" w:type="dxa"/>
        <w:tblLayout w:type="fixed"/>
        <w:tblLook w:val="04A0" w:firstRow="1" w:lastRow="0" w:firstColumn="1" w:lastColumn="0" w:noHBand="0" w:noVBand="1"/>
      </w:tblPr>
      <w:tblGrid>
        <w:gridCol w:w="2879"/>
        <w:gridCol w:w="9091"/>
      </w:tblGrid>
      <w:tr w:rsidR="008E2D01" w:rsidRPr="008E2D01" w14:paraId="5895ECB4" w14:textId="77777777" w:rsidTr="00282008">
        <w:trPr>
          <w:trHeight w:val="8900"/>
        </w:trPr>
        <w:tc>
          <w:tcPr>
            <w:tcW w:w="2875" w:type="dxa"/>
          </w:tcPr>
          <w:p w14:paraId="32C757A9" w14:textId="77777777" w:rsidR="008E2D01" w:rsidRPr="008E2D01" w:rsidRDefault="008E2D01" w:rsidP="00282008">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8E2D01">
              <w:rPr>
                <w:rFonts w:ascii="Times New Roman" w:eastAsia="Arial Unicode MS" w:hAnsi="Times New Roman" w:cs="Arial Unicode MS"/>
                <w:b/>
                <w:bCs/>
                <w:color w:val="000000"/>
                <w:sz w:val="20"/>
                <w:szCs w:val="20"/>
                <w:u w:color="000000"/>
                <w:bdr w:val="nil"/>
              </w:rPr>
              <w:t>OUTLINE</w:t>
            </w:r>
          </w:p>
          <w:p w14:paraId="247AB102" w14:textId="77777777" w:rsidR="008E2D01" w:rsidRPr="008E2D01" w:rsidRDefault="008E2D01" w:rsidP="00282008">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11E55F90" w14:textId="77777777" w:rsidR="008E2D01" w:rsidRPr="008E2D01" w:rsidRDefault="008E2D01" w:rsidP="00282008">
            <w:pPr>
              <w:pBdr>
                <w:top w:val="nil"/>
                <w:left w:val="nil"/>
                <w:bottom w:val="nil"/>
                <w:right w:val="nil"/>
                <w:between w:val="nil"/>
                <w:bar w:val="nil"/>
              </w:pBdr>
              <w:rPr>
                <w:rFonts w:ascii="Times New Roman" w:eastAsia="Arial Unicode MS" w:hAnsi="Times New Roman" w:cs="Arial Unicode MS"/>
                <w:color w:val="000000"/>
                <w:sz w:val="20"/>
                <w:szCs w:val="20"/>
                <w:u w:color="000000"/>
                <w:bdr w:val="nil"/>
              </w:rPr>
            </w:pPr>
          </w:p>
          <w:p w14:paraId="5AEBBA2E" w14:textId="77777777" w:rsidR="008E2D01" w:rsidRPr="008E2D01" w:rsidRDefault="008E2D01" w:rsidP="00282008">
            <w:pPr>
              <w:pStyle w:val="Body"/>
              <w:spacing w:line="480" w:lineRule="auto"/>
              <w:rPr>
                <w:rFonts w:ascii="Times New Roman" w:hAnsi="Times New Roman" w:cs="Times New Roman"/>
                <w:sz w:val="20"/>
                <w:szCs w:val="20"/>
              </w:rPr>
            </w:pPr>
            <w:r w:rsidRPr="008E2D01">
              <w:rPr>
                <w:rFonts w:ascii="Times New Roman" w:hAnsi="Times New Roman" w:cs="Times New Roman"/>
                <w:sz w:val="20"/>
                <w:szCs w:val="20"/>
              </w:rPr>
              <w:t>The Big Picture: Peoples on the Move</w:t>
            </w:r>
          </w:p>
          <w:p w14:paraId="20525426" w14:textId="4A5765D5" w:rsidR="008E2D01" w:rsidRPr="008E2D01" w:rsidRDefault="008E2D01" w:rsidP="00282008">
            <w:pPr>
              <w:pStyle w:val="Body"/>
              <w:spacing w:line="480" w:lineRule="auto"/>
              <w:rPr>
                <w:rFonts w:ascii="Times New Roman" w:hAnsi="Times New Roman" w:cs="Times New Roman"/>
                <w:sz w:val="20"/>
                <w:szCs w:val="20"/>
              </w:rPr>
            </w:pPr>
            <w:r w:rsidRPr="008E2D01">
              <w:rPr>
                <w:rFonts w:ascii="Times New Roman" w:hAnsi="Times New Roman" w:cs="Times New Roman"/>
                <w:sz w:val="20"/>
                <w:szCs w:val="20"/>
              </w:rPr>
              <w:t>Arrivals in a New Country</w:t>
            </w:r>
          </w:p>
          <w:p w14:paraId="1172FCB1" w14:textId="15EA67E9" w:rsidR="008E2D01" w:rsidRPr="008E2D01" w:rsidRDefault="008E2D01" w:rsidP="00282008">
            <w:pPr>
              <w:pStyle w:val="Body"/>
              <w:spacing w:line="480" w:lineRule="auto"/>
              <w:rPr>
                <w:rFonts w:ascii="Times New Roman" w:hAnsi="Times New Roman" w:cs="Times New Roman"/>
                <w:sz w:val="20"/>
                <w:szCs w:val="20"/>
              </w:rPr>
            </w:pPr>
            <w:r w:rsidRPr="008E2D01">
              <w:rPr>
                <w:rFonts w:ascii="Times New Roman" w:hAnsi="Times New Roman" w:cs="Times New Roman"/>
                <w:sz w:val="20"/>
                <w:szCs w:val="20"/>
              </w:rPr>
              <w:t>Global Mass Migration and its Constraints</w:t>
            </w:r>
          </w:p>
          <w:p w14:paraId="0354BF56" w14:textId="5CA10CB7" w:rsidR="008E2D01" w:rsidRPr="008E2D01" w:rsidRDefault="008E2D01" w:rsidP="00282008">
            <w:pPr>
              <w:pStyle w:val="Body"/>
              <w:spacing w:line="480" w:lineRule="auto"/>
              <w:rPr>
                <w:rFonts w:ascii="Times New Roman" w:hAnsi="Times New Roman" w:cs="Times New Roman"/>
                <w:sz w:val="20"/>
                <w:szCs w:val="20"/>
              </w:rPr>
            </w:pPr>
            <w:r w:rsidRPr="008E2D01">
              <w:rPr>
                <w:rFonts w:ascii="Times New Roman" w:hAnsi="Times New Roman" w:cs="Times New Roman"/>
                <w:sz w:val="20"/>
                <w:szCs w:val="20"/>
              </w:rPr>
              <w:t>Years after Migration</w:t>
            </w:r>
          </w:p>
          <w:p w14:paraId="653D0016" w14:textId="2971B5BA" w:rsidR="008E2D01" w:rsidRPr="008E2D01" w:rsidRDefault="008E2D01" w:rsidP="00282008">
            <w:pPr>
              <w:pStyle w:val="Body"/>
              <w:spacing w:line="480" w:lineRule="auto"/>
              <w:rPr>
                <w:rFonts w:ascii="Times New Roman" w:hAnsi="Times New Roman" w:cs="Times New Roman"/>
                <w:sz w:val="20"/>
                <w:szCs w:val="20"/>
              </w:rPr>
            </w:pPr>
            <w:r w:rsidRPr="008E2D01">
              <w:rPr>
                <w:rFonts w:ascii="Times New Roman" w:hAnsi="Times New Roman" w:cs="Times New Roman"/>
                <w:sz w:val="20"/>
                <w:szCs w:val="20"/>
              </w:rPr>
              <w:t>Involuntary Mass Migration</w:t>
            </w:r>
          </w:p>
          <w:p w14:paraId="540CE5EA" w14:textId="7B879857" w:rsidR="008E2D01" w:rsidRPr="00282008" w:rsidRDefault="008E2D01" w:rsidP="00282008">
            <w:pPr>
              <w:pStyle w:val="Body"/>
              <w:spacing w:line="480" w:lineRule="auto"/>
              <w:rPr>
                <w:rFonts w:ascii="Times New Roman" w:hAnsi="Times New Roman" w:cs="Times New Roman"/>
                <w:sz w:val="20"/>
                <w:szCs w:val="20"/>
              </w:rPr>
            </w:pPr>
            <w:r w:rsidRPr="008E2D01">
              <w:rPr>
                <w:rFonts w:ascii="Times New Roman" w:hAnsi="Times New Roman" w:cs="Times New Roman"/>
                <w:sz w:val="20"/>
                <w:szCs w:val="20"/>
              </w:rPr>
              <w:t>The Bigger Picture: Migration in the Twenty-First Century</w:t>
            </w:r>
          </w:p>
        </w:tc>
        <w:tc>
          <w:tcPr>
            <w:tcW w:w="9095" w:type="dxa"/>
          </w:tcPr>
          <w:p w14:paraId="0DDD1F4C" w14:textId="77777777" w:rsidR="008E2D01" w:rsidRPr="008E2D01" w:rsidRDefault="008E2D01" w:rsidP="00282008">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8E2D01">
              <w:rPr>
                <w:rFonts w:ascii="Times New Roman" w:eastAsia="Arial Unicode MS" w:hAnsi="Times New Roman" w:cs="Arial Unicode MS"/>
                <w:b/>
                <w:bCs/>
                <w:color w:val="000000"/>
                <w:sz w:val="20"/>
                <w:szCs w:val="20"/>
                <w:u w:color="000000"/>
                <w:bdr w:val="nil"/>
              </w:rPr>
              <w:t>THINKING ABOUT THE BIG PICTURE</w:t>
            </w:r>
          </w:p>
          <w:p w14:paraId="77065F8D" w14:textId="77777777" w:rsidR="008E2D01" w:rsidRPr="008E2D01" w:rsidRDefault="008E2D01" w:rsidP="00282008">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640AAF7F" w14:textId="77777777"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Where and when did humans migrate around the globe in the prehistoric period?  In what ways did migration change humans over time?</w:t>
            </w:r>
          </w:p>
          <w:p w14:paraId="08FB8504" w14:textId="77777777"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While Gordon focuses this chapter on migration after 1500 CE, what are some of the patterns of migration that he wants us to know about from the period between 500 and 1500 CE?</w:t>
            </w:r>
          </w:p>
          <w:p w14:paraId="342A90D1" w14:textId="77777777"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 xml:space="preserve">Compare and contrast the motives and means by which José </w:t>
            </w:r>
            <w:proofErr w:type="spellStart"/>
            <w:r w:rsidRPr="008E2D01">
              <w:rPr>
                <w:rFonts w:ascii="Times New Roman" w:hAnsi="Times New Roman" w:cs="Times New Roman"/>
                <w:sz w:val="20"/>
                <w:szCs w:val="20"/>
              </w:rPr>
              <w:t>Ángel</w:t>
            </w:r>
            <w:proofErr w:type="spellEnd"/>
            <w:r w:rsidRPr="008E2D01">
              <w:rPr>
                <w:rFonts w:ascii="Times New Roman" w:hAnsi="Times New Roman" w:cs="Times New Roman"/>
                <w:sz w:val="20"/>
                <w:szCs w:val="20"/>
              </w:rPr>
              <w:t xml:space="preserve"> </w:t>
            </w:r>
            <w:proofErr w:type="spellStart"/>
            <w:r w:rsidRPr="008E2D01">
              <w:rPr>
                <w:rFonts w:ascii="Times New Roman" w:hAnsi="Times New Roman" w:cs="Times New Roman"/>
                <w:sz w:val="20"/>
                <w:szCs w:val="20"/>
              </w:rPr>
              <w:t>Navejas</w:t>
            </w:r>
            <w:proofErr w:type="spellEnd"/>
            <w:r w:rsidRPr="008E2D01">
              <w:rPr>
                <w:rFonts w:ascii="Times New Roman" w:hAnsi="Times New Roman" w:cs="Times New Roman"/>
                <w:sz w:val="20"/>
                <w:szCs w:val="20"/>
              </w:rPr>
              <w:t xml:space="preserve">, Zena, and </w:t>
            </w:r>
            <w:proofErr w:type="spellStart"/>
            <w:r w:rsidRPr="008E2D01">
              <w:rPr>
                <w:rFonts w:ascii="Times New Roman" w:hAnsi="Times New Roman" w:cs="Times New Roman"/>
                <w:sz w:val="20"/>
                <w:szCs w:val="20"/>
              </w:rPr>
              <w:t>Annah</w:t>
            </w:r>
            <w:proofErr w:type="spellEnd"/>
            <w:r w:rsidRPr="008E2D01">
              <w:rPr>
                <w:rFonts w:ascii="Times New Roman" w:hAnsi="Times New Roman" w:cs="Times New Roman"/>
                <w:sz w:val="20"/>
                <w:szCs w:val="20"/>
              </w:rPr>
              <w:t xml:space="preserve"> Frances </w:t>
            </w:r>
            <w:proofErr w:type="spellStart"/>
            <w:r w:rsidRPr="008E2D01">
              <w:rPr>
                <w:rFonts w:ascii="Times New Roman" w:hAnsi="Times New Roman" w:cs="Times New Roman"/>
                <w:sz w:val="20"/>
                <w:szCs w:val="20"/>
              </w:rPr>
              <w:t>Acam</w:t>
            </w:r>
            <w:proofErr w:type="spellEnd"/>
            <w:r w:rsidRPr="008E2D01">
              <w:rPr>
                <w:rFonts w:ascii="Times New Roman" w:hAnsi="Times New Roman" w:cs="Times New Roman"/>
                <w:sz w:val="20"/>
                <w:szCs w:val="20"/>
              </w:rPr>
              <w:t xml:space="preserve"> </w:t>
            </w:r>
            <w:proofErr w:type="spellStart"/>
            <w:r w:rsidRPr="008E2D01">
              <w:rPr>
                <w:rFonts w:ascii="Times New Roman" w:hAnsi="Times New Roman" w:cs="Times New Roman"/>
                <w:sz w:val="20"/>
                <w:szCs w:val="20"/>
              </w:rPr>
              <w:t>Emuge</w:t>
            </w:r>
            <w:proofErr w:type="spellEnd"/>
            <w:r w:rsidRPr="008E2D01">
              <w:rPr>
                <w:rFonts w:ascii="Times New Roman" w:hAnsi="Times New Roman" w:cs="Times New Roman"/>
                <w:sz w:val="20"/>
                <w:szCs w:val="20"/>
              </w:rPr>
              <w:t xml:space="preserve"> immigrated to the United States.</w:t>
            </w:r>
          </w:p>
          <w:p w14:paraId="60027BC3" w14:textId="77777777"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 xml:space="preserve">How can the immigration stories of José, Zena, and </w:t>
            </w:r>
            <w:proofErr w:type="spellStart"/>
            <w:r w:rsidRPr="008E2D01">
              <w:rPr>
                <w:rFonts w:ascii="Times New Roman" w:hAnsi="Times New Roman" w:cs="Times New Roman"/>
                <w:sz w:val="20"/>
                <w:szCs w:val="20"/>
              </w:rPr>
              <w:t>Annah</w:t>
            </w:r>
            <w:proofErr w:type="spellEnd"/>
            <w:r w:rsidRPr="008E2D01">
              <w:rPr>
                <w:rFonts w:ascii="Times New Roman" w:hAnsi="Times New Roman" w:cs="Times New Roman"/>
                <w:sz w:val="20"/>
                <w:szCs w:val="20"/>
              </w:rPr>
              <w:t xml:space="preserve"> be understood in the context of the history of migration to the United States, especially during the nineteenth century? </w:t>
            </w:r>
          </w:p>
          <w:p w14:paraId="5A52DFE0" w14:textId="77777777"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 xml:space="preserve">Compare and contrast the experiences of José, Zena, and </w:t>
            </w:r>
            <w:proofErr w:type="spellStart"/>
            <w:r w:rsidRPr="008E2D01">
              <w:rPr>
                <w:rFonts w:ascii="Times New Roman" w:hAnsi="Times New Roman" w:cs="Times New Roman"/>
                <w:sz w:val="20"/>
                <w:szCs w:val="20"/>
              </w:rPr>
              <w:t>Annah</w:t>
            </w:r>
            <w:proofErr w:type="spellEnd"/>
            <w:r w:rsidRPr="008E2D01">
              <w:rPr>
                <w:rFonts w:ascii="Times New Roman" w:hAnsi="Times New Roman" w:cs="Times New Roman"/>
                <w:sz w:val="20"/>
                <w:szCs w:val="20"/>
              </w:rPr>
              <w:t xml:space="preserve"> after 10 years of living in the United States.  What accounts for the differences in their experiences?</w:t>
            </w:r>
          </w:p>
          <w:p w14:paraId="38636DC4" w14:textId="77777777"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Give examples of involuntary mass migration during the modern era.  What does the Soviet gulag system teach us about the role of governments in mass migration?</w:t>
            </w:r>
          </w:p>
          <w:p w14:paraId="5976C66D" w14:textId="77777777"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What are the characteristics of migration in the twenty</w:t>
            </w:r>
            <w:r w:rsidRPr="008E2D01">
              <w:rPr>
                <w:rFonts w:ascii="Times New Roman" w:hAnsi="Times New Roman" w:cs="Times New Roman"/>
                <w:sz w:val="20"/>
                <w:szCs w:val="20"/>
              </w:rPr>
              <w:noBreakHyphen/>
              <w:t>first century?  Are they different than previous periods discussed?</w:t>
            </w:r>
          </w:p>
          <w:p w14:paraId="10D1B83E" w14:textId="5273FAB5" w:rsidR="008E2D01" w:rsidRPr="008E2D01" w:rsidRDefault="008E2D01" w:rsidP="00282008">
            <w:pPr>
              <w:pStyle w:val="ListParagraph"/>
              <w:numPr>
                <w:ilvl w:val="0"/>
                <w:numId w:val="1"/>
              </w:numPr>
              <w:spacing w:line="480" w:lineRule="auto"/>
              <w:rPr>
                <w:rFonts w:ascii="Times New Roman" w:hAnsi="Times New Roman" w:cs="Times New Roman"/>
                <w:sz w:val="20"/>
                <w:szCs w:val="20"/>
              </w:rPr>
            </w:pPr>
            <w:r w:rsidRPr="008E2D01">
              <w:rPr>
                <w:rFonts w:ascii="Times New Roman" w:hAnsi="Times New Roman" w:cs="Times New Roman"/>
                <w:sz w:val="20"/>
                <w:szCs w:val="20"/>
              </w:rPr>
              <w:t xml:space="preserve">According to Gordon, how does the United Nations offer a different way of thinking about migrants </w:t>
            </w:r>
            <w:r w:rsidR="00282008">
              <w:rPr>
                <w:rFonts w:ascii="Times New Roman" w:hAnsi="Times New Roman" w:cs="Times New Roman"/>
                <w:sz w:val="20"/>
                <w:szCs w:val="20"/>
              </w:rPr>
              <w:t>and immigration?</w:t>
            </w:r>
          </w:p>
        </w:tc>
      </w:tr>
      <w:tr w:rsidR="00282008" w:rsidRPr="008E2D01" w14:paraId="699D5709" w14:textId="6016E46C" w:rsidTr="00282008">
        <w:trPr>
          <w:trHeight w:val="2955"/>
        </w:trPr>
        <w:tc>
          <w:tcPr>
            <w:tcW w:w="2880" w:type="dxa"/>
          </w:tcPr>
          <w:p w14:paraId="0AA6887D" w14:textId="406855E7" w:rsidR="00282008" w:rsidRPr="00282008" w:rsidRDefault="00282008" w:rsidP="00282008">
            <w:pPr>
              <w:keepLines/>
              <w:pBdr>
                <w:top w:val="nil"/>
                <w:left w:val="nil"/>
                <w:bottom w:val="nil"/>
                <w:right w:val="nil"/>
                <w:between w:val="nil"/>
                <w:bar w:val="nil"/>
              </w:pBdr>
              <w:jc w:val="both"/>
              <w:rPr>
                <w:rFonts w:ascii="Times New Roman" w:eastAsia="Arial" w:hAnsi="Times New Roman" w:cs="Times New Roman"/>
                <w:b/>
                <w:bCs/>
                <w:color w:val="000000"/>
                <w:sz w:val="20"/>
                <w:szCs w:val="20"/>
                <w:u w:color="000000"/>
                <w:bdr w:val="nil"/>
              </w:rPr>
            </w:pPr>
            <w:r w:rsidRPr="00282008">
              <w:rPr>
                <w:rFonts w:ascii="Times New Roman" w:eastAsia="R StempelGaramond Roman" w:hAnsi="Times New Roman" w:cs="Times New Roman"/>
                <w:b/>
                <w:bCs/>
                <w:color w:val="000000"/>
                <w:sz w:val="20"/>
                <w:szCs w:val="20"/>
                <w:u w:color="000000"/>
                <w:bdr w:val="nil"/>
              </w:rPr>
              <w:t xml:space="preserve">NOTES </w:t>
            </w:r>
          </w:p>
          <w:p w14:paraId="31CEE7BF" w14:textId="77777777" w:rsidR="00282008" w:rsidRPr="00282008" w:rsidRDefault="00282008" w:rsidP="00282008">
            <w:pPr>
              <w:pBdr>
                <w:top w:val="nil"/>
                <w:left w:val="nil"/>
                <w:bottom w:val="nil"/>
                <w:right w:val="nil"/>
                <w:between w:val="nil"/>
                <w:bar w:val="nil"/>
              </w:pBdr>
              <w:rPr>
                <w:rFonts w:ascii="Times New Roman" w:eastAsia="Arial Unicode MS" w:hAnsi="Times New Roman" w:cs="Times New Roman"/>
                <w:b/>
                <w:sz w:val="20"/>
                <w:szCs w:val="20"/>
                <w:u w:val="single"/>
                <w:bdr w:val="nil"/>
              </w:rPr>
            </w:pPr>
          </w:p>
        </w:tc>
        <w:tc>
          <w:tcPr>
            <w:tcW w:w="9090" w:type="dxa"/>
          </w:tcPr>
          <w:p w14:paraId="6945FE7D" w14:textId="5103E51A" w:rsidR="00282008" w:rsidRPr="00282008" w:rsidRDefault="00282008" w:rsidP="00282008">
            <w:pPr>
              <w:spacing w:line="480" w:lineRule="auto"/>
              <w:rPr>
                <w:rFonts w:ascii="Times New Roman" w:eastAsia="Arial Unicode MS" w:hAnsi="Times New Roman" w:cs="Times New Roman"/>
                <w:b/>
                <w:sz w:val="20"/>
                <w:szCs w:val="20"/>
                <w:bdr w:val="nil"/>
              </w:rPr>
            </w:pPr>
            <w:r w:rsidRPr="00282008">
              <w:rPr>
                <w:rFonts w:ascii="Times New Roman" w:eastAsia="Arial Unicode MS" w:hAnsi="Times New Roman" w:cs="Times New Roman"/>
                <w:b/>
                <w:sz w:val="20"/>
                <w:szCs w:val="20"/>
                <w:bdr w:val="nil"/>
              </w:rPr>
              <w:t>NOTES</w:t>
            </w:r>
          </w:p>
        </w:tc>
      </w:tr>
    </w:tbl>
    <w:p w14:paraId="5420ED81" w14:textId="77777777" w:rsidR="008E2D01" w:rsidRPr="008E2D01" w:rsidRDefault="008E2D01" w:rsidP="008E2D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E4443A9" w14:textId="77777777" w:rsidR="008E2D01" w:rsidRPr="008E2D01" w:rsidRDefault="008E2D01" w:rsidP="008E2D0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3BDB1690" w14:textId="77777777" w:rsidR="00695442" w:rsidRDefault="00282008"/>
    <w:sectPr w:rsidR="00695442"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B926B" w14:textId="77777777" w:rsidR="008E2D01" w:rsidRDefault="008E2D01" w:rsidP="008E2D01">
      <w:pPr>
        <w:spacing w:after="0" w:line="240" w:lineRule="auto"/>
      </w:pPr>
      <w:r>
        <w:separator/>
      </w:r>
    </w:p>
  </w:endnote>
  <w:endnote w:type="continuationSeparator" w:id="0">
    <w:p w14:paraId="5E3F9282" w14:textId="77777777" w:rsidR="008E2D01" w:rsidRDefault="008E2D01" w:rsidP="008E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 StempelGaramond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23B1" w14:textId="77777777" w:rsidR="008E2D01" w:rsidRDefault="008E2D01" w:rsidP="008E2D01">
      <w:pPr>
        <w:spacing w:after="0" w:line="240" w:lineRule="auto"/>
      </w:pPr>
      <w:r>
        <w:separator/>
      </w:r>
    </w:p>
  </w:footnote>
  <w:footnote w:type="continuationSeparator" w:id="0">
    <w:p w14:paraId="236125D9" w14:textId="77777777" w:rsidR="008E2D01" w:rsidRDefault="008E2D01" w:rsidP="008E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5D0B" w14:textId="1ADE741F" w:rsidR="00557B33" w:rsidRPr="008E2D01" w:rsidRDefault="008E2D01" w:rsidP="0089445B">
    <w:pPr>
      <w:pStyle w:val="Header"/>
      <w:rPr>
        <w:rFonts w:ascii="Times New Roman" w:hAnsi="Times New Roman" w:cs="Times New Roman"/>
        <w:sz w:val="24"/>
        <w:szCs w:val="24"/>
      </w:rPr>
    </w:pPr>
    <w:r w:rsidRPr="008E2D01">
      <w:rPr>
        <w:rFonts w:ascii="Times New Roman" w:hAnsi="Times New Roman" w:cs="Times New Roman"/>
        <w:sz w:val="24"/>
        <w:szCs w:val="24"/>
      </w:rPr>
      <w:t xml:space="preserve">NOTE-TAKING GUIDE CHAPTER 4 Migration and the Immigrant Experience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01"/>
    <w:rsid w:val="00282008"/>
    <w:rsid w:val="007D322A"/>
    <w:rsid w:val="008E2D01"/>
    <w:rsid w:val="00E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B317"/>
  <w15:chartTrackingRefBased/>
  <w15:docId w15:val="{9F284FE9-DD10-4FC0-AD98-F456ACD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01"/>
  </w:style>
  <w:style w:type="table" w:customStyle="1" w:styleId="TableGrid1">
    <w:name w:val="Table Grid1"/>
    <w:basedOn w:val="TableNormal"/>
    <w:next w:val="TableGrid"/>
    <w:uiPriority w:val="39"/>
    <w:rsid w:val="008E2D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01"/>
    <w:pPr>
      <w:spacing w:after="0" w:line="240" w:lineRule="auto"/>
      <w:ind w:left="720"/>
      <w:contextualSpacing/>
    </w:pPr>
    <w:rPr>
      <w:sz w:val="24"/>
      <w:szCs w:val="24"/>
    </w:rPr>
  </w:style>
  <w:style w:type="paragraph" w:customStyle="1" w:styleId="Body">
    <w:name w:val="Body"/>
    <w:rsid w:val="008E2D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8E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2</cp:revision>
  <dcterms:created xsi:type="dcterms:W3CDTF">2021-11-08T20:10:00Z</dcterms:created>
  <dcterms:modified xsi:type="dcterms:W3CDTF">2021-11-08T23:34:00Z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2021-11-08T20:10:35Z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aa3b15a4-56d8-4a8f-833c-4f5d6b9a6b34</vt:lpwstr>
  </property>
  <property fmtid="{D5CDD505-2E9C-101B-9397-08002B2CF9AE}" pid="8" name="MSIP_Label_be5cb09a-2992-49d6-8ac9-5f63e7b1ad2f_ContentBits">
    <vt:lpwstr>0</vt:lpwstr>
  </property>
</Properties>
</file>