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5A" w:rsidRPr="003A4392" w:rsidRDefault="0041365A" w:rsidP="0041365A">
      <w:pPr>
        <w:pStyle w:val="BT"/>
        <w:spacing w:line="480" w:lineRule="auto"/>
        <w:rPr>
          <w:b w:val="0"/>
          <w:color w:val="000000" w:themeColor="text1"/>
        </w:rPr>
      </w:pPr>
      <w:bookmarkStart w:id="0" w:name="_GoBack"/>
      <w:bookmarkEnd w:id="0"/>
      <w:r w:rsidRPr="003A4392">
        <w:rPr>
          <w:rStyle w:val="Strong"/>
          <w:b/>
          <w:color w:val="000000" w:themeColor="text1"/>
        </w:rPr>
        <w:t>Court Rulings Affecting Juvenile Justice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65"/>
        <w:gridCol w:w="6924"/>
      </w:tblGrid>
      <w:tr w:rsidR="0041365A" w:rsidRPr="003A4392" w:rsidTr="0041365A">
        <w:tc>
          <w:tcPr>
            <w:tcW w:w="2965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Emphasis"/>
                <w:rFonts w:eastAsia="Times New Roman"/>
                <w:color w:val="000000" w:themeColor="text1"/>
              </w:rPr>
              <w:t>Breed v. Jones</w:t>
            </w:r>
            <w:r w:rsidRPr="003A4392">
              <w:rPr>
                <w:rFonts w:eastAsia="Times New Roman"/>
                <w:color w:val="000000" w:themeColor="text1"/>
              </w:rPr>
              <w:t xml:space="preserve"> (1975)</w:t>
            </w:r>
          </w:p>
        </w:tc>
        <w:tc>
          <w:tcPr>
            <w:tcW w:w="6924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Attached double jeopardy to cases in which youths are adjudicated in juvenile court and then waived to adult court for processing</w:t>
            </w:r>
          </w:p>
        </w:tc>
      </w:tr>
      <w:tr w:rsidR="0041365A" w:rsidRPr="003A4392" w:rsidTr="0041365A">
        <w:tc>
          <w:tcPr>
            <w:tcW w:w="2965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Emphasis"/>
                <w:rFonts w:eastAsia="Times New Roman"/>
                <w:color w:val="000000" w:themeColor="text1"/>
              </w:rPr>
              <w:t>Fare v. Michael C.</w:t>
            </w:r>
            <w:r w:rsidRPr="003A4392">
              <w:rPr>
                <w:rFonts w:eastAsia="Times New Roman"/>
                <w:color w:val="000000" w:themeColor="text1"/>
              </w:rPr>
              <w:t xml:space="preserve"> (1979)</w:t>
            </w:r>
          </w:p>
        </w:tc>
        <w:tc>
          <w:tcPr>
            <w:tcW w:w="6924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A youth does not have a right to speak to his or her probation officer after an arrest, only to counsel.</w:t>
            </w:r>
          </w:p>
        </w:tc>
      </w:tr>
      <w:tr w:rsidR="0041365A" w:rsidRPr="003A4392" w:rsidTr="0041365A">
        <w:tc>
          <w:tcPr>
            <w:tcW w:w="2965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Emphasis"/>
                <w:rFonts w:eastAsia="Times New Roman"/>
                <w:color w:val="000000" w:themeColor="text1"/>
              </w:rPr>
              <w:t>Schall</w:t>
            </w:r>
            <w:r w:rsidRPr="003A4392">
              <w:rPr>
                <w:rStyle w:val="Emphasis"/>
                <w:color w:val="000000" w:themeColor="text1"/>
              </w:rPr>
              <w:t xml:space="preserve"> v. Martin</w:t>
            </w:r>
            <w:r w:rsidRPr="003A4392">
              <w:rPr>
                <w:rFonts w:eastAsia="Times New Roman"/>
                <w:color w:val="000000" w:themeColor="text1"/>
              </w:rPr>
              <w:t xml:space="preserve"> (1984)</w:t>
            </w:r>
          </w:p>
        </w:tc>
        <w:tc>
          <w:tcPr>
            <w:tcW w:w="6924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Preventive detention is permissible if there is adequate concern that further crimes will be committed, although the juvenile has a right to a hearing on the detention.</w:t>
            </w:r>
          </w:p>
        </w:tc>
      </w:tr>
      <w:tr w:rsidR="0041365A" w:rsidRPr="003A4392" w:rsidTr="0041365A">
        <w:tc>
          <w:tcPr>
            <w:tcW w:w="2965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Emphasis"/>
                <w:rFonts w:eastAsia="Times New Roman"/>
                <w:color w:val="000000" w:themeColor="text1"/>
              </w:rPr>
              <w:t>New Jersey v. T.L.O.</w:t>
            </w:r>
            <w:r w:rsidRPr="003A4392">
              <w:rPr>
                <w:rFonts w:eastAsia="Times New Roman"/>
                <w:color w:val="000000" w:themeColor="text1"/>
              </w:rPr>
              <w:t xml:space="preserve"> (1985)</w:t>
            </w:r>
          </w:p>
        </w:tc>
        <w:tc>
          <w:tcPr>
            <w:tcW w:w="6924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The warrantless search of a student’s purse by school authorities is permissible based on reasonable suspicion of violating school rules.</w:t>
            </w:r>
          </w:p>
        </w:tc>
      </w:tr>
      <w:tr w:rsidR="0041365A" w:rsidRPr="003A4392" w:rsidTr="0041365A">
        <w:tc>
          <w:tcPr>
            <w:tcW w:w="2965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Emphasis"/>
                <w:rFonts w:eastAsia="Times New Roman"/>
                <w:color w:val="000000" w:themeColor="text1"/>
              </w:rPr>
              <w:t>Doe v. Renfroe</w:t>
            </w:r>
            <w:r w:rsidRPr="003A4392">
              <w:rPr>
                <w:rFonts w:eastAsia="Times New Roman"/>
                <w:color w:val="000000" w:themeColor="text1"/>
              </w:rPr>
              <w:t xml:space="preserve"> (1981)</w:t>
            </w:r>
          </w:p>
        </w:tc>
        <w:tc>
          <w:tcPr>
            <w:tcW w:w="6924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The use of dogs to sniff students and their possessions for drugs at school is not a violation of their rights.</w:t>
            </w:r>
          </w:p>
        </w:tc>
      </w:tr>
      <w:tr w:rsidR="0041365A" w:rsidRPr="003A4392" w:rsidTr="0041365A">
        <w:tc>
          <w:tcPr>
            <w:tcW w:w="2965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Emphasis"/>
                <w:rFonts w:eastAsia="Times New Roman"/>
                <w:color w:val="000000" w:themeColor="text1"/>
              </w:rPr>
              <w:t>Qutb v. Strauss</w:t>
            </w:r>
            <w:r w:rsidRPr="003A4392">
              <w:rPr>
                <w:rFonts w:eastAsia="Times New Roman"/>
                <w:color w:val="000000" w:themeColor="text1"/>
              </w:rPr>
              <w:t xml:space="preserve"> (1993)</w:t>
            </w:r>
          </w:p>
        </w:tc>
        <w:tc>
          <w:tcPr>
            <w:tcW w:w="6924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Juvenile curfews are not a violation of an individual’s rights if they serve a compelling state interest.</w:t>
            </w:r>
          </w:p>
        </w:tc>
      </w:tr>
      <w:tr w:rsidR="0041365A" w:rsidRPr="003A4392" w:rsidTr="0041365A">
        <w:tc>
          <w:tcPr>
            <w:tcW w:w="2965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Emphasis"/>
                <w:rFonts w:eastAsia="Times New Roman"/>
                <w:color w:val="000000" w:themeColor="text1"/>
              </w:rPr>
              <w:t>Board of Education of Independent School District No. 92 v. Lindsay Earls et al.</w:t>
            </w:r>
            <w:r w:rsidRPr="003A4392">
              <w:rPr>
                <w:rFonts w:eastAsia="Times New Roman"/>
                <w:color w:val="000000" w:themeColor="text1"/>
              </w:rPr>
              <w:t xml:space="preserve"> (2002)</w:t>
            </w:r>
          </w:p>
        </w:tc>
        <w:tc>
          <w:tcPr>
            <w:tcW w:w="6924" w:type="dxa"/>
            <w:hideMark/>
          </w:tcPr>
          <w:p w:rsidR="0041365A" w:rsidRPr="003A4392" w:rsidRDefault="0041365A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Random drug tests required of students participating in extracurricular activities are permissible.</w:t>
            </w:r>
          </w:p>
        </w:tc>
      </w:tr>
    </w:tbl>
    <w:p w:rsidR="008023B6" w:rsidRDefault="008023B6"/>
    <w:sectPr w:rsidR="0080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5A"/>
    <w:rsid w:val="0041365A"/>
    <w:rsid w:val="008023B6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65A"/>
    <w:rPr>
      <w:b/>
      <w:bCs/>
    </w:rPr>
  </w:style>
  <w:style w:type="character" w:styleId="Emphasis">
    <w:name w:val="Emphasis"/>
    <w:basedOn w:val="DefaultParagraphFont"/>
    <w:uiPriority w:val="20"/>
    <w:qFormat/>
    <w:rsid w:val="0041365A"/>
    <w:rPr>
      <w:i/>
      <w:iCs/>
    </w:rPr>
  </w:style>
  <w:style w:type="paragraph" w:customStyle="1" w:styleId="BN">
    <w:name w:val="BN"/>
    <w:basedOn w:val="Normal"/>
    <w:qFormat/>
    <w:rsid w:val="0041365A"/>
    <w:pPr>
      <w:spacing w:before="100" w:beforeAutospacing="1"/>
    </w:pPr>
    <w:rPr>
      <w:b/>
    </w:rPr>
  </w:style>
  <w:style w:type="paragraph" w:customStyle="1" w:styleId="BT">
    <w:name w:val="BT"/>
    <w:basedOn w:val="Normal"/>
    <w:qFormat/>
    <w:rsid w:val="0041365A"/>
    <w:pPr>
      <w:spacing w:before="100" w:beforeAutospacing="1"/>
    </w:pPr>
    <w:rPr>
      <w:b/>
    </w:rPr>
  </w:style>
  <w:style w:type="table" w:styleId="TableGrid">
    <w:name w:val="Table Grid"/>
    <w:basedOn w:val="TableNormal"/>
    <w:uiPriority w:val="59"/>
    <w:rsid w:val="00413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65A"/>
    <w:rPr>
      <w:b/>
      <w:bCs/>
    </w:rPr>
  </w:style>
  <w:style w:type="character" w:styleId="Emphasis">
    <w:name w:val="Emphasis"/>
    <w:basedOn w:val="DefaultParagraphFont"/>
    <w:uiPriority w:val="20"/>
    <w:qFormat/>
    <w:rsid w:val="0041365A"/>
    <w:rPr>
      <w:i/>
      <w:iCs/>
    </w:rPr>
  </w:style>
  <w:style w:type="paragraph" w:customStyle="1" w:styleId="BN">
    <w:name w:val="BN"/>
    <w:basedOn w:val="Normal"/>
    <w:qFormat/>
    <w:rsid w:val="0041365A"/>
    <w:pPr>
      <w:spacing w:before="100" w:beforeAutospacing="1"/>
    </w:pPr>
    <w:rPr>
      <w:b/>
    </w:rPr>
  </w:style>
  <w:style w:type="paragraph" w:customStyle="1" w:styleId="BT">
    <w:name w:val="BT"/>
    <w:basedOn w:val="Normal"/>
    <w:qFormat/>
    <w:rsid w:val="0041365A"/>
    <w:pPr>
      <w:spacing w:before="100" w:beforeAutospacing="1"/>
    </w:pPr>
    <w:rPr>
      <w:b/>
    </w:rPr>
  </w:style>
  <w:style w:type="table" w:styleId="TableGrid">
    <w:name w:val="Table Grid"/>
    <w:basedOn w:val="TableNormal"/>
    <w:uiPriority w:val="59"/>
    <w:rsid w:val="00413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 Lab</dc:creator>
  <cp:keywords/>
  <dc:description/>
  <cp:lastModifiedBy>303273</cp:lastModifiedBy>
  <cp:revision>2</cp:revision>
  <dcterms:created xsi:type="dcterms:W3CDTF">2017-10-17T13:33:00Z</dcterms:created>
  <dcterms:modified xsi:type="dcterms:W3CDTF">2021-04-15T10:50:00Z</dcterms:modified>
</cp:coreProperties>
</file>