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2" w:rsidRPr="00E26F76" w:rsidRDefault="00E24212" w:rsidP="00E24212">
      <w:pPr>
        <w:rPr>
          <w:rFonts w:ascii="Garamond" w:hAnsi="Garamond"/>
          <w:b/>
        </w:rPr>
      </w:pPr>
      <w:r w:rsidRPr="00E26F76">
        <w:rPr>
          <w:rFonts w:ascii="Garamond" w:hAnsi="Garamond"/>
          <w:b/>
        </w:rPr>
        <w:t>PART VI: EXISTENTIAL ISSUES</w:t>
      </w:r>
    </w:p>
    <w:p w:rsidR="00E24212" w:rsidRPr="00E26F76" w:rsidRDefault="00E24212" w:rsidP="00E24212">
      <w:pPr>
        <w:rPr>
          <w:rFonts w:ascii="Garamond" w:hAnsi="Garamond"/>
          <w:b/>
        </w:rPr>
      </w:pPr>
    </w:p>
    <w:p w:rsidR="00E24212" w:rsidRPr="00E26F76" w:rsidRDefault="00E24212" w:rsidP="00E24212">
      <w:pPr>
        <w:rPr>
          <w:rFonts w:ascii="Garamond" w:hAnsi="Garamond"/>
          <w:b/>
        </w:rPr>
      </w:pPr>
      <w:r w:rsidRPr="00E26F76">
        <w:rPr>
          <w:rFonts w:ascii="Garamond" w:hAnsi="Garamond"/>
          <w:b/>
        </w:rPr>
        <w:t>Albert Camus, “The Myth of Sisyphus”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The life of Sisyphus is often taken to be the paradigm of a meaningless existence. In this selection, Camus describes Sisyphus’s life and offers some </w:t>
      </w:r>
      <w:proofErr w:type="gramStart"/>
      <w:r w:rsidRPr="00E26F76">
        <w:rPr>
          <w:rFonts w:ascii="Garamond" w:hAnsi="Garamond"/>
        </w:rPr>
        <w:t>ruminations</w:t>
      </w:r>
      <w:proofErr w:type="gramEnd"/>
      <w:r w:rsidRPr="00E26F76">
        <w:rPr>
          <w:rFonts w:ascii="Garamond" w:hAnsi="Garamond"/>
        </w:rPr>
        <w:t xml:space="preserve"> about how Sisyphus can overcome the absurdity of his punishment.</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Camus begins by telling us the story of Sisyphus: how he ended up in the underworld, how he obtained permission from Pluto to go back up to yell at his wife (because she had obeyed him too readily), how he had stayed up in the world once he returned because he loved it so much, and how the gods had to come retrieve him and gave him his rock as punishment, to be pushed up a hill day after day for no reason.</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The part of the myth that Camus is interested in, he tells us, is the part where Sisyphus walks back down the hill to begin pushing his rock again. At that moment, what is Sisyphus thinking? He is a conscious being, and this is what makes his punishment so bad. He is able to realize how absurd his task is, and it is his consciousness of the absurdity that makes the punishment so awful.</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However, it is precisely in this fact that Sisyphus beats his punishment. He realizes the absurdity of his plight, and he can be scornful toward it. It is in this attitude of scorn that Camus thinks Sisyphus can rest contented. In fact, Sisyphus is perhaps in an even better situation than most of us, because at least he realizes that his life is absurd. And better to realize this, and be scornful of it, than to be ignorant of it or have a false sense of hope. So perhaps Sisyphus has been able to beat his punishment after all.</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It is worth asking whether and why Sisyphus leads a meaningless life, to what extent our lives resemble the life of Sisyphus, and what we might do (if anything) to overcome such absurdity.</w:t>
      </w:r>
    </w:p>
    <w:p w:rsidR="00E24212" w:rsidRPr="00E26F76" w:rsidRDefault="00E24212" w:rsidP="00E24212">
      <w:pPr>
        <w:rPr>
          <w:rFonts w:ascii="Garamond" w:hAnsi="Garamond"/>
        </w:rPr>
      </w:pPr>
      <w:r>
        <w:rPr>
          <w:rFonts w:ascii="Garamond" w:hAnsi="Garamond"/>
          <w:b/>
        </w:rPr>
        <w:br w:type="page"/>
      </w:r>
      <w:r w:rsidRPr="00E26F76">
        <w:rPr>
          <w:rFonts w:ascii="Garamond" w:hAnsi="Garamond"/>
          <w:b/>
        </w:rPr>
        <w:lastRenderedPageBreak/>
        <w:t>Thomas Nagel, “The Absurd”</w:t>
      </w:r>
    </w:p>
    <w:p w:rsidR="00E24212" w:rsidRPr="00E26F76" w:rsidRDefault="00E24212" w:rsidP="00E24212">
      <w:pPr>
        <w:rPr>
          <w:rFonts w:ascii="Garamond" w:hAnsi="Garamond"/>
          <w:b/>
        </w:rPr>
      </w:pPr>
    </w:p>
    <w:p w:rsidR="00E24212" w:rsidRPr="00E26F76" w:rsidRDefault="00E24212" w:rsidP="00E24212">
      <w:pPr>
        <w:rPr>
          <w:rFonts w:ascii="Garamond" w:hAnsi="Garamond"/>
        </w:rPr>
      </w:pPr>
      <w:r w:rsidRPr="00E26F76">
        <w:rPr>
          <w:rFonts w:ascii="Garamond" w:hAnsi="Garamond"/>
        </w:rPr>
        <w:t xml:space="preserve">Thomas Nagel here attempts to articulate a widespread feeling that humans get when they consider whether their lives are significant “in the grand scheme of things,” so to speak. He begins by pointing out that although many people feel that life is absurd in a certain sense, most of the reasons they give for thinking this are bad reasons. For example, some people say that our lives are absurd because nothing we do now will matter in a million years. But Nagel points out that if that’s true, then the fact that nothing we do now will matter in a million years shouldn’t matter either unless what we do now matters, period. Others try to articulate the feeling by saying that we are just tiny specks in an infinite universe, but Nagel expresses confusion as to how it would help if we were much larger or even lived forever. Still others say that because we die, all chains of justification must stop somewhere. But </w:t>
      </w:r>
      <w:r>
        <w:rPr>
          <w:rFonts w:ascii="Garamond" w:hAnsi="Garamond"/>
        </w:rPr>
        <w:t>many</w:t>
      </w:r>
      <w:r w:rsidRPr="00E26F76">
        <w:rPr>
          <w:rFonts w:ascii="Garamond" w:hAnsi="Garamond"/>
        </w:rPr>
        <w:t xml:space="preserve"> chains of justification stop even during our lifetime, and in any case to look for a chain of justification that never stops is to admit an infinite regress. So, all of the typical arguments for the absurdity of life seem faulty.</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Nevertheless, Nagel thinks that those who put forth these arguments are attempting to express something fundamental that is, in fact, correct. Nagel agrees that our lives are absurd in that there is “a conspicuous discrepancy between pretension or aspiration and reality.” In other words, what makes our lives absurd is the conflict between how seriously we take our lives and the fact that everything about which we are serious seems, when viewed from another perspective, arbitrary and open to doubt. The absurdity of life, according to Nagel, results when these two points of view conflict inside of us.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This account of the absurdity of life cries out for explanation in two places: the claim that taking our lives seriously is unavoidable and the claim that the possibility of doubt is inescapable. As to the first, Nagel simply points us toward the way most humans actually do live their lives. Think here about how much people worry about where they work, what friends they have, what they buy, and so on. As Nagel puts it, “Leading a human life is a full-time occupation.” As to the second claim, Nagel points out that because we are self-reflective creatures, there is always the possibility that we can view our lives </w:t>
      </w:r>
      <w:r w:rsidRPr="00E26F76">
        <w:rPr>
          <w:rFonts w:ascii="Garamond" w:hAnsi="Garamond"/>
          <w:i/>
        </w:rPr>
        <w:t>sub specie aeternitatis</w:t>
      </w:r>
      <w:r w:rsidRPr="00E26F76">
        <w:rPr>
          <w:rFonts w:ascii="Garamond" w:hAnsi="Garamond"/>
        </w:rPr>
        <w:t>, or from the point of view of eternity. And from this point of view, the only justifications that can be given for the way we live our lives are circular.</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Oddly, however, taking up the view from eternity does not cause us to give up our beliefs, although Nagel claims that it does cause us to return to our lives with a sense of irony and resignation. In a sense, we continue to take our lives seriously even while we watch ourselves take our lives seriously and laugh at ourselves.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But is the absurdity of life a problem? Nagel doesn’t think so. After all, he points out that we are in this curious situation precisely because of those characteristics about us that make us the most human—self-consciousness and self-transcendence. Moreover, as he puts it, “If </w:t>
      </w:r>
      <w:r w:rsidRPr="00E26F76">
        <w:rPr>
          <w:rFonts w:ascii="Garamond" w:hAnsi="Garamond"/>
          <w:i/>
        </w:rPr>
        <w:t xml:space="preserve">sub specie aeternitatis </w:t>
      </w:r>
      <w:r w:rsidRPr="00E26F76">
        <w:rPr>
          <w:rFonts w:ascii="Garamond" w:hAnsi="Garamond"/>
        </w:rPr>
        <w:t>there is no reason to believe that anything matters, then that does not matter either, and we can approach our absurd lives with irony instead of heroism or despair.”</w:t>
      </w:r>
    </w:p>
    <w:p w:rsidR="00E24212" w:rsidRPr="00E26F76" w:rsidRDefault="00E24212" w:rsidP="00E24212"/>
    <w:p w:rsidR="00E24212" w:rsidRPr="00E26F76" w:rsidRDefault="00E24212" w:rsidP="00E24212"/>
    <w:p w:rsidR="00E24212" w:rsidRPr="00E26F76" w:rsidRDefault="00E24212" w:rsidP="00E24212">
      <w:pPr>
        <w:rPr>
          <w:rFonts w:ascii="Garamond" w:hAnsi="Garamond"/>
          <w:b/>
        </w:rPr>
      </w:pPr>
    </w:p>
    <w:p w:rsidR="00E24212" w:rsidRPr="00E26F76" w:rsidRDefault="00E24212" w:rsidP="00E24212">
      <w:pPr>
        <w:rPr>
          <w:rFonts w:ascii="Garamond" w:hAnsi="Garamond"/>
          <w:b/>
        </w:rPr>
      </w:pPr>
      <w:r w:rsidRPr="00E26F76">
        <w:rPr>
          <w:rFonts w:ascii="Garamond" w:hAnsi="Garamond"/>
          <w:b/>
        </w:rPr>
        <w:t>Richard Taylor, “The Meaning of Human Existence”</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lastRenderedPageBreak/>
        <w:t>In this selection, Richard Taylor attempts to figure out what elements a life would need to include for it to be considered meaningful, and he asks whether our own lives fit this picture. His conclusion is that most people’s lives are meaningless, but they nevertheless have the capacity to change that fact.</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Taylor starts with a quote from Schopenhauer that expresses the utter meaninglessness of human life. Human life is like a clock, according to Schopenhauer. It gets wound up, it runs for a while, and then it gets wound up again (in the next generation), only to run for a while and be wound up again, and so on. There is no point to the process—we live and then we die. Taylor partly agrees with this characterization. Our lives are not meaningful just because we are alive, and they aren’t meaningful just because we are human. Indeed, if we look at our lives, we will be able to see that they do have the character of meaninglessness.</w:t>
      </w:r>
    </w:p>
    <w:p w:rsidR="00E24212" w:rsidRPr="00E26F76" w:rsidRDefault="00E24212" w:rsidP="00E24212">
      <w:pPr>
        <w:rPr>
          <w:rFonts w:ascii="Garamond" w:hAnsi="Garamond"/>
        </w:rPr>
      </w:pPr>
      <w:r w:rsidRPr="00E26F76">
        <w:rPr>
          <w:rFonts w:ascii="Garamond" w:hAnsi="Garamond"/>
        </w:rPr>
        <w:tab/>
      </w:r>
    </w:p>
    <w:p w:rsidR="00E24212" w:rsidRPr="00E26F76" w:rsidRDefault="00E24212" w:rsidP="00E24212">
      <w:pPr>
        <w:rPr>
          <w:rFonts w:ascii="Garamond" w:hAnsi="Garamond"/>
        </w:rPr>
      </w:pPr>
      <w:r w:rsidRPr="00E26F76">
        <w:rPr>
          <w:rFonts w:ascii="Garamond" w:hAnsi="Garamond"/>
        </w:rPr>
        <w:t xml:space="preserve">The first part of the essay is an attempt to get a clear picture of what constitutes a meaningless life. As a paradigm of meaninglessness, Taylor has us consider Sisyphus, who was condemned by the gods to roll a rock up a hill, only to watch it roll back down again and have to roll it back up again. Sisyphus was condemned to repeat this purposeless task forever. Surely, if any life is meaningless, Sisyphus’s is. But what is it about Sisyphus’s life that makes it so meaningless? There are two things, according to Taylor: </w:t>
      </w:r>
      <w:r>
        <w:rPr>
          <w:rFonts w:ascii="Garamond" w:hAnsi="Garamond"/>
        </w:rPr>
        <w:t>(</w:t>
      </w:r>
      <w:r w:rsidRPr="00E26F76">
        <w:rPr>
          <w:rFonts w:ascii="Garamond" w:hAnsi="Garamond"/>
        </w:rPr>
        <w:t xml:space="preserve">1) purposelessness, and </w:t>
      </w:r>
      <w:r>
        <w:rPr>
          <w:rFonts w:ascii="Garamond" w:hAnsi="Garamond"/>
        </w:rPr>
        <w:t>(</w:t>
      </w:r>
      <w:r w:rsidRPr="00E26F76">
        <w:rPr>
          <w:rFonts w:ascii="Garamond" w:hAnsi="Garamond"/>
        </w:rPr>
        <w:t>2) repetition.</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Do our lives have the same meaningless character of Sisyphus’</w:t>
      </w:r>
      <w:r>
        <w:rPr>
          <w:rFonts w:ascii="Garamond" w:hAnsi="Garamond"/>
        </w:rPr>
        <w:t>s</w:t>
      </w:r>
      <w:r w:rsidRPr="00E26F76">
        <w:rPr>
          <w:rFonts w:ascii="Garamond" w:hAnsi="Garamond"/>
        </w:rPr>
        <w:t>? Taylor thinks that they do, and he says, “The person you meet after a year is the same, doing what he or she was doing then, responding to the same things in the same ways, saying much the same things, and thinking much the same things, most of them unworthy of thought to begin with.”</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We naturally recoil from such a conclusion, and Taylor urges us to guard against two misunderstandings that might cause this. First, we must be careful not to switch the subject from meaningfulness to happiness. A meaningless life can be a happy one, and vice versa. Second, we must be careful not to think our lives have meaning just because we are able to escape boredom. So, long as the purposelessness and the endless repetition remain, meaningfulness is lacking.</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But does all this mean that it’s not </w:t>
      </w:r>
      <w:r w:rsidRPr="00E26F76">
        <w:rPr>
          <w:rFonts w:ascii="Garamond" w:hAnsi="Garamond"/>
          <w:i/>
        </w:rPr>
        <w:t>possible</w:t>
      </w:r>
      <w:r w:rsidRPr="00E26F76">
        <w:rPr>
          <w:rFonts w:ascii="Garamond" w:hAnsi="Garamond"/>
        </w:rPr>
        <w:t xml:space="preserve"> to lead a meaningful life? Taylor thinks not. He pinpoints three characteristics that are necessary for one’s life to be meaningful. First, it must be directed to goals of one’s own creation and choice. Second, these goals must be genuinely noble, beautiful, or otherwise lastingly worthwhile. And third, these goals must be attained. As a matter of fact, Taylor thinks, most of our lives do not meet these conditions.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But the conclusion is not entirely pessimistic. We can work toward satisfying these three conditions, and to the extent that we do, we have lived meaningfully. Taylor ends on an optimistic note: “A </w:t>
      </w:r>
      <w:proofErr w:type="gramStart"/>
      <w:r w:rsidRPr="00E26F76">
        <w:rPr>
          <w:rFonts w:ascii="Garamond" w:hAnsi="Garamond"/>
        </w:rPr>
        <w:t>person</w:t>
      </w:r>
      <w:proofErr w:type="gramEnd"/>
      <w:r w:rsidRPr="00E26F76">
        <w:rPr>
          <w:rFonts w:ascii="Garamond" w:hAnsi="Garamond"/>
        </w:rPr>
        <w:t xml:space="preserve"> who does actually succeed in creating something genuinely good, perhaps even beautiful or noble, has lived meaningfully.” Although most human life is in fact meaningless, it need not be so.</w:t>
      </w:r>
    </w:p>
    <w:p w:rsidR="00E24212" w:rsidRPr="00E26F76" w:rsidRDefault="00E24212" w:rsidP="00E24212">
      <w:pPr>
        <w:rPr>
          <w:rFonts w:ascii="Garamond" w:hAnsi="Garamond"/>
        </w:rPr>
      </w:pPr>
    </w:p>
    <w:p w:rsidR="00E24212" w:rsidRPr="00E26F76" w:rsidRDefault="00E24212" w:rsidP="00E24212">
      <w:pPr>
        <w:rPr>
          <w:rFonts w:ascii="Garamond" w:hAnsi="Garamond"/>
          <w:b/>
        </w:rPr>
      </w:pPr>
      <w:r>
        <w:rPr>
          <w:rFonts w:ascii="Garamond" w:hAnsi="Garamond"/>
          <w:b/>
        </w:rPr>
        <w:br w:type="page"/>
      </w:r>
      <w:r w:rsidRPr="00E26F76">
        <w:rPr>
          <w:rFonts w:ascii="Garamond" w:hAnsi="Garamond"/>
          <w:b/>
        </w:rPr>
        <w:lastRenderedPageBreak/>
        <w:t>Susan Wolf, “The Meanings of Lives”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Susan Wolf begins by noting that the stereotypical philosophical question, “What is the meaning of life?” doesn’t get much attention from philosophers these days. There are a number of things wrong with it, but the main thing is that it is utterly obscure. Without a particular context in which to interpret the question, it becomes almost meaningless (no pun intended). Despite the obscurity, though, Wolf thinks there is something in people’s heads when they ask this question and it would be wrong for us to just dismiss it altogether. She thinks she can put her finger on at least one aspect of what people are interested in when they ask this question, and she puts it as follows: “It is a request to find out why we are here (that is, why we exist at all), with the hope that an answer to this question will also tell us something about what we should be doing with our lives.”</w:t>
      </w:r>
    </w:p>
    <w:p w:rsidR="00E24212" w:rsidRPr="00E26F76" w:rsidRDefault="00E24212" w:rsidP="00E24212">
      <w:pPr>
        <w:rPr>
          <w:rFonts w:ascii="Garamond" w:hAnsi="Garamond"/>
        </w:rPr>
      </w:pPr>
      <w:r w:rsidRPr="00E26F76">
        <w:rPr>
          <w:rFonts w:ascii="Garamond" w:hAnsi="Garamond"/>
        </w:rPr>
        <w:tab/>
      </w:r>
    </w:p>
    <w:p w:rsidR="00E24212" w:rsidRPr="00E26F76" w:rsidRDefault="00E24212" w:rsidP="00E24212">
      <w:pPr>
        <w:rPr>
          <w:rFonts w:ascii="Garamond" w:hAnsi="Garamond"/>
        </w:rPr>
      </w:pPr>
      <w:r w:rsidRPr="00E26F76">
        <w:rPr>
          <w:rFonts w:ascii="Garamond" w:hAnsi="Garamond"/>
        </w:rPr>
        <w:t>But Wolf is inclined to accept the standard philosophical view that there is no way of ascribing Meaning to Life (note the capitals) without bringing in some specific religious worldview. Nevertheless, Wolf thinks it is intelligible to ask whether a particular life is meaningful, and it is this project that she takes up in the bulk of the paper.</w:t>
      </w:r>
    </w:p>
    <w:p w:rsidR="00E24212" w:rsidRPr="00E26F76" w:rsidRDefault="00E24212" w:rsidP="00E24212">
      <w:pPr>
        <w:rPr>
          <w:rFonts w:ascii="Garamond" w:hAnsi="Garamond"/>
        </w:rPr>
      </w:pPr>
      <w:r w:rsidRPr="00E26F76">
        <w:rPr>
          <w:rFonts w:ascii="Garamond" w:hAnsi="Garamond"/>
        </w:rPr>
        <w:tab/>
      </w:r>
    </w:p>
    <w:p w:rsidR="00E24212" w:rsidRPr="00E26F76" w:rsidRDefault="00E24212" w:rsidP="00E24212">
      <w:pPr>
        <w:rPr>
          <w:rFonts w:ascii="Garamond" w:hAnsi="Garamond"/>
        </w:rPr>
      </w:pPr>
      <w:r w:rsidRPr="00E26F76">
        <w:rPr>
          <w:rFonts w:ascii="Garamond" w:hAnsi="Garamond"/>
        </w:rPr>
        <w:t>Wolf begins her inquiry into what makes a particular life meaningful by noting that there is a subjective aspect to meaning—a meaningful life is at least somewhat rewarding or fulfilling to the person living it. However, that can’t be all there is. For example, look at Einstein and Mother Teresa. Surely their lives were meaningful in some more robust sense than just that they felt fulfilled. What is this further sense?</w:t>
      </w:r>
    </w:p>
    <w:p w:rsidR="00E24212" w:rsidRPr="00E26F76" w:rsidRDefault="00E24212" w:rsidP="00E24212">
      <w:pPr>
        <w:rPr>
          <w:rFonts w:ascii="Garamond" w:hAnsi="Garamond"/>
        </w:rPr>
      </w:pPr>
      <w:r w:rsidRPr="00E26F76">
        <w:rPr>
          <w:rFonts w:ascii="Garamond" w:hAnsi="Garamond"/>
        </w:rPr>
        <w:tab/>
      </w:r>
    </w:p>
    <w:p w:rsidR="00E24212" w:rsidRPr="00E26F76" w:rsidRDefault="00E24212" w:rsidP="00E24212">
      <w:pPr>
        <w:rPr>
          <w:rFonts w:ascii="Garamond" w:hAnsi="Garamond"/>
        </w:rPr>
      </w:pPr>
      <w:r w:rsidRPr="00E26F76">
        <w:rPr>
          <w:rFonts w:ascii="Garamond" w:hAnsi="Garamond"/>
        </w:rPr>
        <w:t xml:space="preserve">It will help to first look at what makes a life meaningless. By examining three cases that Wolf takes to be obviously meaningless lives, she attempts to extract the characteristics that make a life meaningful. What she comes up with is as follows: First, a meaningful life must involve active engagement in something. Second, the engagement must be in projects that have some positive value. And third, it must be engaged in projects that are successful to a certain degree. </w:t>
      </w:r>
    </w:p>
    <w:p w:rsidR="00E24212" w:rsidRPr="00E26F76" w:rsidRDefault="00E24212" w:rsidP="00E24212">
      <w:pPr>
        <w:rPr>
          <w:rFonts w:ascii="Garamond" w:hAnsi="Garamond"/>
        </w:rPr>
      </w:pPr>
      <w:r w:rsidRPr="00E26F76">
        <w:rPr>
          <w:rFonts w:ascii="Garamond" w:hAnsi="Garamond"/>
        </w:rPr>
        <w:tab/>
      </w:r>
    </w:p>
    <w:p w:rsidR="00E24212" w:rsidRPr="00E26F76" w:rsidRDefault="00E24212" w:rsidP="00E24212">
      <w:pPr>
        <w:rPr>
          <w:rFonts w:ascii="Garamond" w:hAnsi="Garamond"/>
        </w:rPr>
      </w:pPr>
      <w:r w:rsidRPr="00E26F76">
        <w:rPr>
          <w:rFonts w:ascii="Garamond" w:hAnsi="Garamond"/>
        </w:rPr>
        <w:t>There are a number of qualifications Wolf makes to these suggestions. First, she notes that “projects” should be taken very broadly to include, especially, relationships. Second, being engaged in a project must involve some sort of identification—it can’t just be a matter of being active. You must somehow enjoy or identify with the project you are undertaking. Third, “positive value” must be given more than a subjective interpretation. And fourth, objective good must not be mistaken for moral good. Morally bad people might live meaningful lives, and morally good people might live meaningless lives.</w:t>
      </w:r>
    </w:p>
    <w:p w:rsidR="00E24212" w:rsidRPr="00E26F76" w:rsidRDefault="00E24212" w:rsidP="00E24212">
      <w:pPr>
        <w:rPr>
          <w:rFonts w:ascii="Garamond" w:hAnsi="Garamond"/>
        </w:rPr>
      </w:pPr>
      <w:r w:rsidRPr="00E26F76">
        <w:rPr>
          <w:rFonts w:ascii="Garamond" w:hAnsi="Garamond"/>
        </w:rPr>
        <w:tab/>
      </w:r>
      <w:r w:rsidRPr="00E26F76">
        <w:rPr>
          <w:rFonts w:ascii="Garamond" w:hAnsi="Garamond"/>
        </w:rPr>
        <w:tab/>
      </w:r>
    </w:p>
    <w:p w:rsidR="00E24212" w:rsidRPr="00E26F76" w:rsidRDefault="00E24212" w:rsidP="00E24212">
      <w:pPr>
        <w:rPr>
          <w:rFonts w:ascii="Garamond" w:hAnsi="Garamond"/>
          <w:b/>
        </w:rPr>
      </w:pPr>
      <w:r w:rsidRPr="00E26F76">
        <w:rPr>
          <w:rFonts w:ascii="Garamond" w:hAnsi="Garamond"/>
        </w:rPr>
        <w:t>In the end, it’s the very thought that we are tiny specks in a vast universe that Wolf thinks connects up the question of the Meaning of Life with the question of the meaningfulness of lives. That thought should give rise to two different responses. On the one hand, it should help us realize the meaninglessness of human existence in general. But on the other hand, it should help urge us to stop focusing on ourselves so that we can connect with objectively valuable things and, hence, live meaningful lives. Individual lives can still be meaningful even in an ultimately meaningless world.</w:t>
      </w:r>
      <w:r>
        <w:rPr>
          <w:rFonts w:ascii="Garamond" w:hAnsi="Garamond"/>
        </w:rPr>
        <w:br w:type="page"/>
      </w:r>
      <w:r w:rsidRPr="00E26F76">
        <w:rPr>
          <w:rFonts w:ascii="Garamond" w:hAnsi="Garamond"/>
          <w:b/>
        </w:rPr>
        <w:lastRenderedPageBreak/>
        <w:t>Thomas Nagel, “Death”</w:t>
      </w:r>
    </w:p>
    <w:p w:rsidR="00E24212" w:rsidRPr="00E26F76" w:rsidRDefault="00E24212" w:rsidP="00E24212">
      <w:pPr>
        <w:rPr>
          <w:rFonts w:ascii="Garamond" w:hAnsi="Garamond"/>
          <w:b/>
        </w:rPr>
      </w:pPr>
    </w:p>
    <w:p w:rsidR="00E24212" w:rsidRPr="00E26F76" w:rsidRDefault="00E24212" w:rsidP="00E24212">
      <w:pPr>
        <w:rPr>
          <w:rFonts w:ascii="Garamond" w:hAnsi="Garamond"/>
        </w:rPr>
      </w:pPr>
      <w:r w:rsidRPr="00E26F76">
        <w:rPr>
          <w:rFonts w:ascii="Garamond" w:hAnsi="Garamond"/>
        </w:rPr>
        <w:t>In this piece, Nagel considers the classic question</w:t>
      </w:r>
      <w:r>
        <w:rPr>
          <w:rFonts w:ascii="Garamond" w:hAnsi="Garamond"/>
        </w:rPr>
        <w:t>s</w:t>
      </w:r>
      <w:r w:rsidRPr="00E26F76">
        <w:rPr>
          <w:rFonts w:ascii="Garamond" w:hAnsi="Garamond"/>
        </w:rPr>
        <w:t xml:space="preserve"> of “whether death is in itself an evil; and how great an evil, and of what kind.” He begins by laying out some working assumptions and presuppositions, such as that he is using the word “death” to mean a permanent cessation of consciousness and that when he speaks of the value of life, he means the value </w:t>
      </w:r>
      <w:r w:rsidRPr="00E26F76">
        <w:rPr>
          <w:rFonts w:ascii="Garamond" w:hAnsi="Garamond"/>
          <w:i/>
        </w:rPr>
        <w:t>for the subject</w:t>
      </w:r>
      <w:r w:rsidRPr="00E26F76">
        <w:rPr>
          <w:rFonts w:ascii="Garamond" w:hAnsi="Garamond"/>
        </w:rPr>
        <w:t>, as opposed to the value for others or any sort of objective value. He then raises three difficulties for the commonsense view that death is bad for the person who dies.</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 xml:space="preserve">The first problem is one of explaining how mere deprivation can be a bad thing when there is no one around to mind being deprived. The second problem is a worry about how it even makes sense to say that death is bad </w:t>
      </w:r>
      <w:r w:rsidRPr="00E26F76">
        <w:rPr>
          <w:rFonts w:ascii="Garamond" w:hAnsi="Garamond"/>
          <w:i/>
        </w:rPr>
        <w:t>for the person</w:t>
      </w:r>
      <w:r w:rsidRPr="00E26F76">
        <w:rPr>
          <w:rFonts w:ascii="Garamond" w:hAnsi="Garamond"/>
        </w:rPr>
        <w:t>, as there is no longer any person to speak about. The final problem is one of explaining why we should have a different attitude toward nonexistence after death than we do toward our nonexistence prior to birth.</w:t>
      </w:r>
    </w:p>
    <w:p w:rsidR="00E24212" w:rsidRPr="00E26F76" w:rsidRDefault="00E24212" w:rsidP="00E24212">
      <w:pPr>
        <w:rPr>
          <w:rFonts w:ascii="Garamond" w:hAnsi="Garamond"/>
        </w:rPr>
      </w:pPr>
    </w:p>
    <w:p w:rsidR="00E24212" w:rsidRPr="00E26F76" w:rsidRDefault="00E24212" w:rsidP="00E24212">
      <w:pPr>
        <w:rPr>
          <w:rFonts w:ascii="Garamond" w:hAnsi="Garamond"/>
        </w:rPr>
      </w:pPr>
      <w:r w:rsidRPr="00E26F76">
        <w:rPr>
          <w:rFonts w:ascii="Garamond" w:hAnsi="Garamond"/>
        </w:rPr>
        <w:t>In response to these worries, Nagel develops the view that “most good and ill fortune has as its subject a person identified by his history and his possibilities, rather than merely by his categorical state of the moment.” Once we move to a more sophisticated understanding of the relational nature of goods and ills in a person’s life, Nagel argues, we can begin to make sense of and vindicate the commonsense view that death is bad for the person who dies, even though he or she is no longer around to suffer.</w:t>
      </w:r>
      <w:r w:rsidRPr="00E26F76">
        <w:rPr>
          <w:rFonts w:ascii="Garamond" w:hAnsi="Garamond"/>
        </w:rPr>
        <w:br/>
      </w:r>
    </w:p>
    <w:p w:rsidR="00E24212" w:rsidRPr="00E26F76" w:rsidRDefault="00E24212" w:rsidP="00E24212">
      <w:pPr>
        <w:rPr>
          <w:rFonts w:ascii="Garamond" w:hAnsi="Garamond"/>
          <w:b/>
        </w:rPr>
      </w:pPr>
    </w:p>
    <w:p w:rsidR="00E24212" w:rsidRPr="00E26F76" w:rsidRDefault="00E24212" w:rsidP="00E24212">
      <w:pPr>
        <w:ind w:left="720"/>
        <w:rPr>
          <w:rFonts w:ascii="Garamond" w:hAnsi="Garamond"/>
        </w:rPr>
      </w:pPr>
    </w:p>
    <w:p w:rsidR="00E24212" w:rsidRPr="00E26F76" w:rsidRDefault="00E24212" w:rsidP="00E24212">
      <w:pPr>
        <w:ind w:left="720"/>
        <w:rPr>
          <w:rFonts w:ascii="Garamond" w:hAnsi="Garamond"/>
        </w:rPr>
      </w:pPr>
    </w:p>
    <w:p w:rsidR="00E24212" w:rsidRPr="00E26F76" w:rsidRDefault="00E24212" w:rsidP="00E24212">
      <w:pPr>
        <w:ind w:left="720"/>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rPr>
      </w:pPr>
    </w:p>
    <w:p w:rsidR="00E24212" w:rsidRDefault="00E24212" w:rsidP="00E24212">
      <w:pPr>
        <w:rPr>
          <w:rFonts w:ascii="Garamond" w:hAnsi="Garamond"/>
          <w:b/>
        </w:rPr>
      </w:pPr>
      <w:r>
        <w:rPr>
          <w:rFonts w:ascii="Garamond" w:hAnsi="Garamond"/>
          <w:b/>
        </w:rPr>
        <w:br w:type="page"/>
      </w:r>
      <w:proofErr w:type="gramStart"/>
      <w:r>
        <w:rPr>
          <w:rFonts w:ascii="Garamond" w:hAnsi="Garamond"/>
          <w:b/>
        </w:rPr>
        <w:lastRenderedPageBreak/>
        <w:t>Anthony Brueckner and John Martin Fischer, “Why Is Death Bad?”</w:t>
      </w:r>
      <w:proofErr w:type="gramEnd"/>
    </w:p>
    <w:p w:rsidR="00E24212" w:rsidRDefault="00E24212" w:rsidP="00E24212">
      <w:pPr>
        <w:rPr>
          <w:rFonts w:ascii="Garamond" w:hAnsi="Garamond"/>
          <w:b/>
        </w:rPr>
      </w:pPr>
    </w:p>
    <w:p w:rsidR="00E24212" w:rsidRPr="00116EE6" w:rsidRDefault="00E24212" w:rsidP="00E24212">
      <w:pPr>
        <w:rPr>
          <w:rFonts w:ascii="Garamond" w:hAnsi="Garamond"/>
        </w:rPr>
      </w:pPr>
      <w:proofErr w:type="gramStart"/>
      <w:r w:rsidRPr="00116EE6">
        <w:rPr>
          <w:rFonts w:ascii="Garamond" w:hAnsi="Garamond"/>
        </w:rPr>
        <w:t xml:space="preserve">In “Why </w:t>
      </w:r>
      <w:r>
        <w:rPr>
          <w:rFonts w:ascii="Garamond" w:hAnsi="Garamond"/>
        </w:rPr>
        <w:t>I</w:t>
      </w:r>
      <w:r w:rsidRPr="00116EE6">
        <w:rPr>
          <w:rFonts w:ascii="Garamond" w:hAnsi="Garamond"/>
        </w:rPr>
        <w:t>s Death Bad?”</w:t>
      </w:r>
      <w:proofErr w:type="gramEnd"/>
      <w:r w:rsidRPr="00116EE6">
        <w:rPr>
          <w:rFonts w:ascii="Garamond" w:hAnsi="Garamond"/>
        </w:rPr>
        <w:t xml:space="preserve"> Brueckner and Fischer attempt to explain why death is bad.</w:t>
      </w:r>
      <w:r>
        <w:rPr>
          <w:rFonts w:ascii="Garamond" w:hAnsi="Garamond"/>
        </w:rPr>
        <w:t xml:space="preserve"> </w:t>
      </w:r>
      <w:r w:rsidRPr="00116EE6">
        <w:rPr>
          <w:rFonts w:ascii="Garamond" w:hAnsi="Garamond"/>
        </w:rPr>
        <w:t>They begin with an old problem.</w:t>
      </w:r>
      <w:r>
        <w:rPr>
          <w:rFonts w:ascii="Garamond" w:hAnsi="Garamond"/>
        </w:rPr>
        <w:t xml:space="preserve"> </w:t>
      </w:r>
      <w:r w:rsidRPr="00116EE6">
        <w:rPr>
          <w:rFonts w:ascii="Garamond" w:hAnsi="Garamond"/>
        </w:rPr>
        <w:t>No one thinks that prenatal nonexistence was bad.</w:t>
      </w:r>
      <w:r>
        <w:rPr>
          <w:rFonts w:ascii="Garamond" w:hAnsi="Garamond"/>
        </w:rPr>
        <w:t xml:space="preserve"> </w:t>
      </w:r>
      <w:r w:rsidRPr="00116EE6">
        <w:rPr>
          <w:rFonts w:ascii="Garamond" w:hAnsi="Garamond"/>
        </w:rPr>
        <w:t>But posthumous nonexistence will be no different.</w:t>
      </w:r>
      <w:r>
        <w:rPr>
          <w:rFonts w:ascii="Garamond" w:hAnsi="Garamond"/>
        </w:rPr>
        <w:t xml:space="preserve"> </w:t>
      </w:r>
      <w:r w:rsidRPr="00116EE6">
        <w:rPr>
          <w:rFonts w:ascii="Garamond" w:hAnsi="Garamond"/>
        </w:rPr>
        <w:t>So why do many, perhaps most of us even, seem to think that our posthumous nonexistence will be bad for us?</w:t>
      </w:r>
      <w:r>
        <w:rPr>
          <w:rFonts w:ascii="Garamond" w:hAnsi="Garamond"/>
        </w:rPr>
        <w:t xml:space="preserve"> </w:t>
      </w:r>
      <w:r w:rsidRPr="00116EE6">
        <w:rPr>
          <w:rFonts w:ascii="Garamond" w:hAnsi="Garamond"/>
        </w:rPr>
        <w:t>There is an asymmetry of attitudes towards prenatal nonexistence and posthumous nonexistence that cannot be rational unless we can explain the badness of death.</w:t>
      </w:r>
    </w:p>
    <w:p w:rsidR="00E24212" w:rsidRDefault="00E24212" w:rsidP="00E24212">
      <w:pPr>
        <w:rPr>
          <w:rFonts w:ascii="Garamond" w:hAnsi="Garamond"/>
        </w:rPr>
      </w:pPr>
      <w:r w:rsidRPr="00116EE6">
        <w:rPr>
          <w:rFonts w:ascii="Garamond" w:hAnsi="Garamond"/>
        </w:rPr>
        <w:tab/>
      </w:r>
    </w:p>
    <w:p w:rsidR="00E24212" w:rsidRPr="00116EE6" w:rsidRDefault="00E24212" w:rsidP="00E24212">
      <w:pPr>
        <w:rPr>
          <w:rFonts w:ascii="Garamond" w:hAnsi="Garamond"/>
        </w:rPr>
      </w:pPr>
      <w:r w:rsidRPr="00116EE6">
        <w:rPr>
          <w:rFonts w:ascii="Garamond" w:hAnsi="Garamond"/>
        </w:rPr>
        <w:t>To explain the asymmetry of attitudes, Brueckner and Fischer consider one account of the asymmetry due to Derek Parfit.</w:t>
      </w:r>
      <w:r>
        <w:rPr>
          <w:rFonts w:ascii="Garamond" w:hAnsi="Garamond"/>
        </w:rPr>
        <w:t xml:space="preserve"> </w:t>
      </w:r>
      <w:r w:rsidRPr="00116EE6">
        <w:rPr>
          <w:rFonts w:ascii="Garamond" w:hAnsi="Garamond"/>
        </w:rPr>
        <w:t>According to Parfit, whereas we are indifferent toward our own past suffering, we are not indifferent toward our own future suffering.</w:t>
      </w:r>
      <w:r>
        <w:rPr>
          <w:rFonts w:ascii="Garamond" w:hAnsi="Garamond"/>
        </w:rPr>
        <w:t xml:space="preserve"> </w:t>
      </w:r>
      <w:r w:rsidRPr="00116EE6">
        <w:rPr>
          <w:rFonts w:ascii="Garamond" w:hAnsi="Garamond"/>
        </w:rPr>
        <w:t xml:space="preserve">But Brueckner and Fischer reject this as a satisfactory account of the asymmetry because the principle advanced by Parfit is not applicable to death: although death deprives </w:t>
      </w:r>
      <w:r>
        <w:rPr>
          <w:rFonts w:ascii="Garamond" w:hAnsi="Garamond"/>
        </w:rPr>
        <w:t xml:space="preserve">us </w:t>
      </w:r>
      <w:r w:rsidRPr="00116EE6">
        <w:rPr>
          <w:rFonts w:ascii="Garamond" w:hAnsi="Garamond"/>
        </w:rPr>
        <w:t>of goods that we might have otherwise enjoyed, in death we do not suffer.</w:t>
      </w:r>
    </w:p>
    <w:p w:rsidR="00E24212" w:rsidRDefault="00E24212" w:rsidP="00E24212">
      <w:pPr>
        <w:rPr>
          <w:rFonts w:ascii="Garamond" w:hAnsi="Garamond"/>
        </w:rPr>
      </w:pPr>
      <w:r w:rsidRPr="00116EE6">
        <w:rPr>
          <w:rFonts w:ascii="Garamond" w:hAnsi="Garamond"/>
        </w:rPr>
        <w:tab/>
      </w:r>
    </w:p>
    <w:p w:rsidR="00E24212" w:rsidRPr="00116EE6" w:rsidRDefault="00E24212" w:rsidP="00E24212">
      <w:pPr>
        <w:rPr>
          <w:rFonts w:ascii="Garamond" w:hAnsi="Garamond"/>
        </w:rPr>
      </w:pPr>
      <w:r w:rsidRPr="00116EE6">
        <w:rPr>
          <w:rFonts w:ascii="Garamond" w:hAnsi="Garamond"/>
        </w:rPr>
        <w:t>So Brueckner and Fischer develop their own explanation of the asymmetry of our attitudes, one that they think can ground the rationality of our sense that death is a bad thing for us.</w:t>
      </w:r>
      <w:r>
        <w:rPr>
          <w:rFonts w:ascii="Garamond" w:hAnsi="Garamond"/>
        </w:rPr>
        <w:t xml:space="preserve"> </w:t>
      </w:r>
      <w:r w:rsidRPr="00116EE6">
        <w:rPr>
          <w:rFonts w:ascii="Garamond" w:hAnsi="Garamond"/>
        </w:rPr>
        <w:t>According to Brueckner and Fischer, death is a bad thing because it deprives us of the things we look forward to and care about—future experienced goods.</w:t>
      </w:r>
      <w:r>
        <w:rPr>
          <w:rFonts w:ascii="Garamond" w:hAnsi="Garamond"/>
        </w:rPr>
        <w:t xml:space="preserve"> </w:t>
      </w:r>
      <w:r w:rsidRPr="00116EE6">
        <w:rPr>
          <w:rFonts w:ascii="Garamond" w:hAnsi="Garamond"/>
        </w:rPr>
        <w:t>But because we did not care about anything prenatally, we can reasonably be indifferent to our prenatal nonexistence.</w:t>
      </w:r>
    </w:p>
    <w:p w:rsidR="00E24212" w:rsidRDefault="00E24212" w:rsidP="00E24212">
      <w:pPr>
        <w:rPr>
          <w:rFonts w:ascii="Garamond" w:hAnsi="Garamond"/>
          <w:b/>
        </w:rPr>
      </w:pPr>
      <w:r>
        <w:rPr>
          <w:rFonts w:ascii="Garamond" w:hAnsi="Garamond"/>
          <w:b/>
        </w:rPr>
        <w:br w:type="page"/>
      </w:r>
      <w:r>
        <w:rPr>
          <w:rFonts w:ascii="Garamond" w:hAnsi="Garamond"/>
          <w:b/>
        </w:rPr>
        <w:lastRenderedPageBreak/>
        <w:t>Amy Olberding, “Sorrow and the Sage: Grief in the Zhuangzi”</w:t>
      </w:r>
    </w:p>
    <w:p w:rsidR="00E24212" w:rsidRDefault="00E24212" w:rsidP="00E24212">
      <w:pPr>
        <w:rPr>
          <w:rFonts w:ascii="Garamond" w:hAnsi="Garamond"/>
          <w:b/>
        </w:rPr>
      </w:pPr>
    </w:p>
    <w:p w:rsidR="00E24212" w:rsidRDefault="00E24212" w:rsidP="00E24212">
      <w:pPr>
        <w:rPr>
          <w:rFonts w:ascii="Garamond" w:hAnsi="Garamond"/>
        </w:rPr>
      </w:pPr>
      <w:r>
        <w:rPr>
          <w:rFonts w:ascii="Garamond" w:hAnsi="Garamond"/>
        </w:rPr>
        <w:t xml:space="preserve">In this article, Amy Olberding explores death and grief in the </w:t>
      </w:r>
      <w:r>
        <w:rPr>
          <w:rFonts w:ascii="Garamond" w:hAnsi="Garamond"/>
          <w:i/>
        </w:rPr>
        <w:t>Zhuangzi</w:t>
      </w:r>
      <w:r>
        <w:rPr>
          <w:rFonts w:ascii="Garamond" w:hAnsi="Garamond"/>
        </w:rPr>
        <w:t xml:space="preserve">. Specifically, she tries to make sense of two competing models for thinking about bereavement. Sometimes Zhuangzi suggests that one should greet loss with equanimity. But his response to his own wife’s death reflects a sorrow and grief that is at odds with such equanimity. Olberding argues that the second model, reflected in Zhuangzi’s own grief, better fits with the larger vision of the </w:t>
      </w:r>
      <w:r>
        <w:rPr>
          <w:rFonts w:ascii="Garamond" w:hAnsi="Garamond"/>
          <w:i/>
        </w:rPr>
        <w:t>Zhuangzi</w:t>
      </w:r>
      <w:r>
        <w:rPr>
          <w:rFonts w:ascii="Garamond" w:hAnsi="Garamond"/>
        </w:rPr>
        <w:t>. Achieving the equanimity of the first model means foregoing the investment in one’s immediate relationships and life that is necessary for both grief and joy.</w:t>
      </w:r>
    </w:p>
    <w:p w:rsidR="00E24212" w:rsidRDefault="00E24212" w:rsidP="00E24212">
      <w:pPr>
        <w:rPr>
          <w:rFonts w:ascii="Garamond" w:hAnsi="Garamond"/>
        </w:rPr>
      </w:pPr>
    </w:p>
    <w:p w:rsidR="00E24212" w:rsidRDefault="00E24212" w:rsidP="00E24212">
      <w:pPr>
        <w:rPr>
          <w:rFonts w:ascii="Garamond" w:hAnsi="Garamond"/>
        </w:rPr>
      </w:pPr>
      <w:r>
        <w:rPr>
          <w:rFonts w:ascii="Garamond" w:hAnsi="Garamond"/>
        </w:rPr>
        <w:t xml:space="preserve">Olberding </w:t>
      </w:r>
      <w:proofErr w:type="gramStart"/>
      <w:r>
        <w:rPr>
          <w:rFonts w:ascii="Garamond" w:hAnsi="Garamond"/>
        </w:rPr>
        <w:t>begins,</w:t>
      </w:r>
      <w:proofErr w:type="gramEnd"/>
      <w:r>
        <w:rPr>
          <w:rFonts w:ascii="Garamond" w:hAnsi="Garamond"/>
        </w:rPr>
        <w:t xml:space="preserve"> in section one, by drawing a comparison between Seneca and Zhuangzi, highlighting the seeming tension between Zhuangzi’s thoughts about death and his own response to his wife’s death. She then begins resolving this tension by considering a distinction between natural norms and social norms. Zhuangzi, she argues, seems to reject the social norms surrounding how to grieve his death, but he seems to accept the “natural norm” that one grieves the loss of loved ones. Still, this distinction doesn’t entirely resolve the tension in Zhuangzi’s response, since grief still involves the judgment that death is bad, and this seems to run counter to Zhuangzi’s view that death is simply a natural event that occurs within the context of a larger natural ordering of things. </w:t>
      </w:r>
    </w:p>
    <w:p w:rsidR="00E24212" w:rsidRDefault="00E24212" w:rsidP="00E24212">
      <w:pPr>
        <w:rPr>
          <w:rFonts w:ascii="Garamond" w:hAnsi="Garamond"/>
        </w:rPr>
      </w:pPr>
    </w:p>
    <w:p w:rsidR="00E24212" w:rsidRDefault="00E24212" w:rsidP="00E24212">
      <w:pPr>
        <w:rPr>
          <w:rFonts w:ascii="Garamond" w:hAnsi="Garamond"/>
        </w:rPr>
      </w:pPr>
      <w:r>
        <w:rPr>
          <w:rFonts w:ascii="Garamond" w:hAnsi="Garamond"/>
        </w:rPr>
        <w:t xml:space="preserve">In section 3, then, Olberding considers Zhuangzi’s discussion of sages who respond to death with equanimity and no grief. This puts her in a position to better understand a contrast between nature understood from a local level and nature understood from a global—macrocosmic—level. </w:t>
      </w:r>
      <w:proofErr w:type="gramStart"/>
      <w:r>
        <w:rPr>
          <w:rFonts w:ascii="Garamond" w:hAnsi="Garamond"/>
        </w:rPr>
        <w:t>She then, in section 4, returns to Zhuangzi’s grief.</w:t>
      </w:r>
      <w:proofErr w:type="gramEnd"/>
      <w:r>
        <w:rPr>
          <w:rFonts w:ascii="Garamond" w:hAnsi="Garamond"/>
        </w:rPr>
        <w:t xml:space="preserve"> She argues that his grief cannot be a result of his still learning. Moreover, she doesn’t think that it is an instance of akrasia, since he doesn’t regret his grief in anyway. And finally, she doesn’t think that Zhuangzi has a moderate position, like Seneca, who admits that ideally one wouldn’t feel grief but recognizes that we’re only human. Zhuangzi’s grief, Olberding thinks, signals an argument for grief’s value as part of our participating in genuine, identify-defining relationships. This, she argues, in section 5, is something that the sages from section 3 cannot countenance. And it is a limitation of only engaging with nature from a macrocosmic level. In section 6, she then applies this line of thought to humor, arguing that the sages who engage with nature only from a macrocosmic level cannot experience the kind of humor, joy, or cheer of Zhuangzi.</w:t>
      </w:r>
    </w:p>
    <w:p w:rsidR="00E24212" w:rsidRDefault="00E24212" w:rsidP="00E24212">
      <w:pPr>
        <w:rPr>
          <w:rFonts w:ascii="Garamond" w:hAnsi="Garamond"/>
        </w:rPr>
      </w:pPr>
    </w:p>
    <w:p w:rsidR="00E24212" w:rsidRDefault="00E24212" w:rsidP="00E24212">
      <w:pPr>
        <w:rPr>
          <w:rFonts w:ascii="Garamond" w:hAnsi="Garamond"/>
        </w:rPr>
      </w:pPr>
      <w:r>
        <w:rPr>
          <w:rFonts w:ascii="Garamond" w:hAnsi="Garamond"/>
        </w:rPr>
        <w:t xml:space="preserve">In sections 6 and 7, Olberding considers Zhuangzi’s views about the value or disvalue of death. While Zhuangzi grieves his wife’s death, he doesn’t grieve her death for very long. This is partly out of </w:t>
      </w:r>
      <w:proofErr w:type="gramStart"/>
      <w:r>
        <w:rPr>
          <w:rFonts w:ascii="Garamond" w:hAnsi="Garamond"/>
        </w:rPr>
        <w:t>a recognition</w:t>
      </w:r>
      <w:proofErr w:type="gramEnd"/>
      <w:r>
        <w:rPr>
          <w:rFonts w:ascii="Garamond" w:hAnsi="Garamond"/>
        </w:rPr>
        <w:t xml:space="preserve"> that, in the grand scheme of things, death isn’t bad. Zhuangzi, Olberding explains, values death for the same reason he values life. And he worries about his society’s grieving practices, which focus on the disvalue of death, and prevent one to reflect on how death fits into the larger natural order. Veering too far towards seeing death as only a natural event, then, which shouldn’t be grieved, prevents one from participating in the particular relationships that make life so valuable; but focusing too much on these particular relationships can also detract from one’s appreciation of their value. </w:t>
      </w:r>
    </w:p>
    <w:p w:rsidR="00E24212" w:rsidRDefault="00E24212" w:rsidP="00E24212">
      <w:pPr>
        <w:rPr>
          <w:rFonts w:ascii="Garamond" w:hAnsi="Garamond"/>
          <w:b/>
        </w:rPr>
      </w:pPr>
      <w:r>
        <w:rPr>
          <w:rFonts w:ascii="Garamond" w:hAnsi="Garamond"/>
        </w:rPr>
        <w:br w:type="page"/>
      </w:r>
      <w:r>
        <w:rPr>
          <w:rFonts w:ascii="Garamond" w:hAnsi="Garamond"/>
          <w:b/>
        </w:rPr>
        <w:lastRenderedPageBreak/>
        <w:t>Jenann Ismael, “The Ethical Importance of Death”</w:t>
      </w:r>
    </w:p>
    <w:p w:rsidR="00E24212" w:rsidRDefault="00E24212" w:rsidP="00E24212">
      <w:pPr>
        <w:rPr>
          <w:rFonts w:ascii="Garamond" w:hAnsi="Garamond"/>
          <w:b/>
        </w:rPr>
      </w:pPr>
    </w:p>
    <w:p w:rsidR="00E24212" w:rsidRDefault="00E24212" w:rsidP="00E24212">
      <w:pPr>
        <w:rPr>
          <w:rFonts w:ascii="Garamond" w:hAnsi="Garamond"/>
        </w:rPr>
      </w:pPr>
      <w:r>
        <w:rPr>
          <w:rFonts w:ascii="Garamond" w:hAnsi="Garamond"/>
        </w:rPr>
        <w:t xml:space="preserve">In this article, Jenann Ismael discusses various philosophical questions surrounding death. Most centrally, Ismael addresses two issues. First, she provides an answer to the Epicurean challenge: what is so bad about death? For Ismael, death is bad for two reasons. First, it involves the loss of something we value—“the accumulated psychological legacy of a lifetime.” And second, it prevents one from being able to accomplish plans in which one is invested. </w:t>
      </w:r>
    </w:p>
    <w:p w:rsidR="00E24212" w:rsidRDefault="00E24212" w:rsidP="00E24212">
      <w:pPr>
        <w:rPr>
          <w:rFonts w:ascii="Garamond" w:hAnsi="Garamond"/>
        </w:rPr>
      </w:pPr>
    </w:p>
    <w:p w:rsidR="00E24212" w:rsidRDefault="00E24212" w:rsidP="00E24212">
      <w:pPr>
        <w:rPr>
          <w:rFonts w:ascii="Garamond" w:hAnsi="Garamond"/>
        </w:rPr>
      </w:pPr>
      <w:r>
        <w:rPr>
          <w:rFonts w:ascii="Garamond" w:hAnsi="Garamond"/>
        </w:rPr>
        <w:t>Even though death is bad, though, for Ismael, it is also important for giving our lives meaning. The second issue Ismael addresses, then, is Leo Tolstoy’s claim that death makes life meaningless. Tolstoy thought that a finite life was meaningless, and his solution was to deny that life is finite, which, for him, meant accepting certain religious convictions on faith. Others—hedonists—have tried to deny that a finite life is meaningless by pointing to the pleasurable experiences that fill it. Ismael argues that neither of these solutions is a good one. Instead, she argues against Tolstoy’s claim by pointing out that life gets its meaning precisely by being finite. Our finitude provides a frame; it allows our lives to have a narrative dimension.</w:t>
      </w:r>
    </w:p>
    <w:p w:rsidR="00E24212" w:rsidRDefault="00E24212" w:rsidP="00E24212">
      <w:pPr>
        <w:rPr>
          <w:rFonts w:ascii="Garamond" w:hAnsi="Garamond"/>
        </w:rPr>
      </w:pPr>
    </w:p>
    <w:p w:rsidR="00E24212" w:rsidRDefault="00E24212" w:rsidP="00E24212">
      <w:pPr>
        <w:rPr>
          <w:rFonts w:ascii="Garamond" w:hAnsi="Garamond"/>
        </w:rPr>
      </w:pPr>
      <w:r>
        <w:rPr>
          <w:rFonts w:ascii="Garamond" w:hAnsi="Garamond"/>
        </w:rPr>
        <w:t>This leads Ismael, in conclusion, to reflect on Bernard Williams’ famous claim that an immortal life would be tedious. Ismael agrees. So, while death is bad, according to Ismael, it is also what allows us to live meaningful lives; and not dying, living forever, seems like it wouldn’t be good.</w:t>
      </w:r>
    </w:p>
    <w:p w:rsidR="00E24212" w:rsidRDefault="00E24212" w:rsidP="00E24212">
      <w:pPr>
        <w:rPr>
          <w:rFonts w:ascii="Garamond" w:hAnsi="Garamond"/>
          <w:b/>
        </w:rPr>
      </w:pPr>
      <w:r>
        <w:rPr>
          <w:rFonts w:ascii="Garamond" w:hAnsi="Garamond"/>
          <w:b/>
        </w:rPr>
        <w:br w:type="page"/>
      </w:r>
      <w:r>
        <w:rPr>
          <w:rFonts w:ascii="Garamond" w:hAnsi="Garamond"/>
          <w:b/>
        </w:rPr>
        <w:lastRenderedPageBreak/>
        <w:t>Dan Moller, “Love and Death”</w:t>
      </w:r>
    </w:p>
    <w:p w:rsidR="00E24212" w:rsidRDefault="00E24212" w:rsidP="00E24212">
      <w:pPr>
        <w:rPr>
          <w:rFonts w:ascii="Garamond" w:hAnsi="Garamond"/>
          <w:b/>
        </w:rPr>
      </w:pPr>
    </w:p>
    <w:p w:rsidR="00E24212" w:rsidRPr="004F353D" w:rsidRDefault="00E24212" w:rsidP="00E24212">
      <w:pPr>
        <w:contextualSpacing/>
        <w:rPr>
          <w:rFonts w:ascii="Garamond" w:hAnsi="Garamond"/>
          <w:szCs w:val="24"/>
        </w:rPr>
      </w:pPr>
      <w:r w:rsidRPr="004F353D">
        <w:rPr>
          <w:rFonts w:ascii="Garamond" w:hAnsi="Garamond"/>
          <w:szCs w:val="24"/>
        </w:rPr>
        <w:t>Commonly, it is thought that we have difficulty moving on after suffering a loss.</w:t>
      </w:r>
      <w:r>
        <w:rPr>
          <w:rFonts w:ascii="Garamond" w:hAnsi="Garamond"/>
          <w:szCs w:val="24"/>
        </w:rPr>
        <w:t xml:space="preserve"> </w:t>
      </w:r>
      <w:r w:rsidRPr="004F353D">
        <w:rPr>
          <w:rFonts w:ascii="Garamond" w:hAnsi="Garamond"/>
          <w:szCs w:val="24"/>
        </w:rPr>
        <w:t>In “Love and Death,” Dan Moller considers some empirical evidence that suggests otherwise. This research suggests that most people, though initially traumatized by the loss of loved ones, “quickly recover from loss and manifest little long-term distress.”</w:t>
      </w:r>
      <w:r>
        <w:rPr>
          <w:rFonts w:ascii="Garamond" w:hAnsi="Garamond"/>
          <w:szCs w:val="24"/>
        </w:rPr>
        <w:t xml:space="preserve"> </w:t>
      </w:r>
      <w:r w:rsidRPr="004F353D">
        <w:rPr>
          <w:rFonts w:ascii="Garamond" w:hAnsi="Garamond"/>
          <w:szCs w:val="24"/>
        </w:rPr>
        <w:t>Moller considers some philosophical questions that this research provokes.</w:t>
      </w:r>
    </w:p>
    <w:p w:rsidR="00E24212" w:rsidRPr="004F353D" w:rsidRDefault="00E24212" w:rsidP="00E24212">
      <w:pPr>
        <w:contextualSpacing/>
        <w:rPr>
          <w:rFonts w:ascii="Garamond" w:hAnsi="Garamond"/>
          <w:szCs w:val="24"/>
        </w:rPr>
      </w:pPr>
    </w:p>
    <w:p w:rsidR="00E24212" w:rsidRPr="004F353D" w:rsidRDefault="00E24212" w:rsidP="00E24212">
      <w:pPr>
        <w:contextualSpacing/>
        <w:rPr>
          <w:rFonts w:ascii="Garamond" w:hAnsi="Garamond"/>
          <w:szCs w:val="24"/>
        </w:rPr>
      </w:pPr>
      <w:r w:rsidRPr="004F353D">
        <w:rPr>
          <w:rFonts w:ascii="Garamond" w:hAnsi="Garamond"/>
          <w:szCs w:val="24"/>
        </w:rPr>
        <w:t>First, Moller notes that our resilience in the face of loss seems good for us. That is, it seems to benefit the person suffering the loss, and so it is in that person’s interests. He calls this the “adaptive theory.” Nevertheless, Moller admits our resilience might worry some people. For one, it might indicate a lack of real care about the lost object. Moller argues, though, that this doesn’t follow. There are other explanations for resilience than not caring, and it seems we do care about many things</w:t>
      </w:r>
      <w:r>
        <w:rPr>
          <w:rFonts w:ascii="Garamond" w:hAnsi="Garamond"/>
          <w:szCs w:val="24"/>
        </w:rPr>
        <w:t>—</w:t>
      </w:r>
      <w:r w:rsidRPr="004F353D">
        <w:rPr>
          <w:rFonts w:ascii="Garamond" w:hAnsi="Garamond"/>
          <w:szCs w:val="24"/>
        </w:rPr>
        <w:t>we emotionally respond to them and we are willing to sacrifice a great deal for them.</w:t>
      </w:r>
    </w:p>
    <w:p w:rsidR="00E24212" w:rsidRPr="004F353D" w:rsidRDefault="00E24212" w:rsidP="00E24212">
      <w:pPr>
        <w:contextualSpacing/>
        <w:rPr>
          <w:rFonts w:ascii="Garamond" w:hAnsi="Garamond"/>
          <w:szCs w:val="24"/>
        </w:rPr>
      </w:pPr>
    </w:p>
    <w:p w:rsidR="00E24212" w:rsidRPr="004F353D" w:rsidRDefault="00E24212" w:rsidP="00E24212">
      <w:pPr>
        <w:contextualSpacing/>
        <w:rPr>
          <w:rFonts w:ascii="Garamond" w:hAnsi="Garamond"/>
          <w:szCs w:val="24"/>
        </w:rPr>
      </w:pPr>
      <w:r w:rsidRPr="004F353D">
        <w:rPr>
          <w:rFonts w:ascii="Garamond" w:hAnsi="Garamond"/>
          <w:szCs w:val="24"/>
        </w:rPr>
        <w:t xml:space="preserve">Still, Moller suggests that our resilience suggests we are less important than we might like to think. That is, we aren’t </w:t>
      </w:r>
      <w:r w:rsidRPr="004F353D">
        <w:rPr>
          <w:rFonts w:ascii="Garamond" w:hAnsi="Garamond"/>
          <w:i/>
          <w:szCs w:val="24"/>
        </w:rPr>
        <w:t xml:space="preserve">needed </w:t>
      </w:r>
      <w:r w:rsidRPr="004F353D">
        <w:rPr>
          <w:rFonts w:ascii="Garamond" w:hAnsi="Garamond"/>
          <w:szCs w:val="24"/>
        </w:rPr>
        <w:t xml:space="preserve">and we are </w:t>
      </w:r>
      <w:r w:rsidRPr="004F353D">
        <w:rPr>
          <w:rFonts w:ascii="Garamond" w:hAnsi="Garamond"/>
          <w:i/>
          <w:szCs w:val="24"/>
        </w:rPr>
        <w:t>fungible (</w:t>
      </w:r>
      <w:r w:rsidRPr="004F353D">
        <w:rPr>
          <w:rFonts w:ascii="Garamond" w:hAnsi="Garamond"/>
          <w:szCs w:val="24"/>
        </w:rPr>
        <w:t>at least functionally)</w:t>
      </w:r>
      <w:r w:rsidRPr="004F353D">
        <w:rPr>
          <w:rFonts w:ascii="Garamond" w:hAnsi="Garamond"/>
          <w:i/>
          <w:szCs w:val="24"/>
        </w:rPr>
        <w:t xml:space="preserve">. </w:t>
      </w:r>
      <w:r w:rsidRPr="004F353D">
        <w:rPr>
          <w:rFonts w:ascii="Garamond" w:hAnsi="Garamond"/>
          <w:szCs w:val="24"/>
        </w:rPr>
        <w:t>Of course, resilient people nevertheless retain a special place in their heart for their lost loved ones; Moller’s point is only that we aren’t as important as we might like.</w:t>
      </w:r>
    </w:p>
    <w:p w:rsidR="00E24212" w:rsidRPr="004F353D" w:rsidRDefault="00E24212" w:rsidP="00E24212">
      <w:pPr>
        <w:contextualSpacing/>
        <w:rPr>
          <w:rFonts w:ascii="Garamond" w:hAnsi="Garamond"/>
          <w:szCs w:val="24"/>
        </w:rPr>
      </w:pPr>
    </w:p>
    <w:p w:rsidR="00E24212" w:rsidRPr="004F353D" w:rsidRDefault="00E24212" w:rsidP="00E24212">
      <w:pPr>
        <w:contextualSpacing/>
        <w:rPr>
          <w:rFonts w:ascii="Garamond" w:hAnsi="Garamond"/>
          <w:szCs w:val="24"/>
        </w:rPr>
      </w:pPr>
      <w:r w:rsidRPr="004F353D">
        <w:rPr>
          <w:rFonts w:ascii="Garamond" w:hAnsi="Garamond"/>
          <w:szCs w:val="24"/>
        </w:rPr>
        <w:t>Moreover, Moller suggests that, despite the adaptive theory, a resilient person who suffers a loss has reason to regret her resilience, because it affects her ability to fully register the significance of her loss. This is because emotions, for Moller, are one way we perceive value.</w:t>
      </w:r>
    </w:p>
    <w:p w:rsidR="00E24212" w:rsidRPr="004F353D" w:rsidRDefault="00E24212" w:rsidP="00E24212">
      <w:pPr>
        <w:contextualSpacing/>
        <w:rPr>
          <w:rFonts w:ascii="Garamond" w:hAnsi="Garamond"/>
          <w:szCs w:val="24"/>
        </w:rPr>
      </w:pPr>
    </w:p>
    <w:p w:rsidR="00E24212" w:rsidRDefault="00E24212" w:rsidP="00E24212">
      <w:pPr>
        <w:rPr>
          <w:rFonts w:ascii="Garamond" w:hAnsi="Garamond"/>
          <w:szCs w:val="24"/>
        </w:rPr>
      </w:pPr>
      <w:r w:rsidRPr="004F353D">
        <w:rPr>
          <w:rFonts w:ascii="Garamond" w:hAnsi="Garamond"/>
          <w:szCs w:val="24"/>
        </w:rPr>
        <w:t>Ultimately, Moller suggests that we occupy a middle position between super-resilience</w:t>
      </w:r>
      <w:r>
        <w:rPr>
          <w:rFonts w:ascii="Garamond" w:hAnsi="Garamond"/>
          <w:szCs w:val="24"/>
        </w:rPr>
        <w:t>—</w:t>
      </w:r>
      <w:r w:rsidRPr="004F353D">
        <w:rPr>
          <w:rFonts w:ascii="Garamond" w:hAnsi="Garamond"/>
          <w:szCs w:val="24"/>
        </w:rPr>
        <w:t xml:space="preserve"> moving on immediately</w:t>
      </w:r>
      <w:r>
        <w:rPr>
          <w:rFonts w:ascii="Garamond" w:hAnsi="Garamond"/>
          <w:szCs w:val="24"/>
        </w:rPr>
        <w:t>—</w:t>
      </w:r>
      <w:r w:rsidRPr="004F353D">
        <w:rPr>
          <w:rFonts w:ascii="Garamond" w:hAnsi="Garamond"/>
          <w:szCs w:val="24"/>
        </w:rPr>
        <w:t>and sub-resilience</w:t>
      </w:r>
      <w:r>
        <w:rPr>
          <w:rFonts w:ascii="Garamond" w:hAnsi="Garamond"/>
          <w:szCs w:val="24"/>
        </w:rPr>
        <w:t>—</w:t>
      </w:r>
      <w:r w:rsidRPr="004F353D">
        <w:rPr>
          <w:rFonts w:ascii="Garamond" w:hAnsi="Garamond"/>
          <w:szCs w:val="24"/>
        </w:rPr>
        <w:t>never moving on. Neither of these extremes seems satisfying. Nevertheless, this doesn’t mean they represent evils. Moller holds that while our middle position might be the best, any deviation from sub-resilience “raises difficult and painful questions.”</w:t>
      </w:r>
    </w:p>
    <w:p w:rsidR="003631FD" w:rsidRDefault="003631FD">
      <w:bookmarkStart w:id="0" w:name="_GoBack"/>
      <w:bookmarkEnd w:id="0"/>
    </w:p>
    <w:sectPr w:rsidR="0036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12"/>
    <w:rsid w:val="003631FD"/>
    <w:rsid w:val="00E2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1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Sydney</dc:creator>
  <cp:lastModifiedBy>KEEN, Sydney</cp:lastModifiedBy>
  <cp:revision>1</cp:revision>
  <dcterms:created xsi:type="dcterms:W3CDTF">2018-07-11T17:03:00Z</dcterms:created>
  <dcterms:modified xsi:type="dcterms:W3CDTF">2018-07-11T17:03:00Z</dcterms:modified>
</cp:coreProperties>
</file>